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540" w:tblpY="1141"/>
        <w:tblW w:w="10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3"/>
        <w:gridCol w:w="1137"/>
        <w:gridCol w:w="2995"/>
        <w:gridCol w:w="1698"/>
        <w:gridCol w:w="722"/>
        <w:gridCol w:w="630"/>
        <w:gridCol w:w="1560"/>
      </w:tblGrid>
      <w:tr w:rsidR="004A3DA8" w14:paraId="33FC8A2A" w14:textId="77777777" w:rsidTr="00186465">
        <w:trPr>
          <w:trHeight w:val="576"/>
        </w:trPr>
        <w:tc>
          <w:tcPr>
            <w:tcW w:w="1653" w:type="dxa"/>
            <w:vMerge w:val="restart"/>
            <w:tcBorders>
              <w:top w:val="nil"/>
              <w:left w:val="nil"/>
              <w:right w:val="nil"/>
            </w:tcBorders>
          </w:tcPr>
          <w:p w14:paraId="7733C63F" w14:textId="0D3AAD8F" w:rsidR="00435C83" w:rsidRDefault="00435C83" w:rsidP="00186465"/>
        </w:tc>
        <w:tc>
          <w:tcPr>
            <w:tcW w:w="1137" w:type="dxa"/>
            <w:tcBorders>
              <w:top w:val="single" w:sz="12" w:space="0" w:color="auto"/>
              <w:left w:val="nil"/>
            </w:tcBorders>
            <w:vAlign w:val="center"/>
          </w:tcPr>
          <w:p w14:paraId="18495DE5" w14:textId="21BEEAEE" w:rsidR="00435C83" w:rsidRPr="00C96D04" w:rsidRDefault="00435C83" w:rsidP="00186465">
            <w:pPr>
              <w:jc w:val="center"/>
              <w:rPr>
                <w:rFonts w:cstheme="minorHAnsi"/>
                <w:sz w:val="24"/>
                <w:szCs w:val="24"/>
              </w:rPr>
            </w:pPr>
            <w:r w:rsidRPr="00C96D04">
              <w:rPr>
                <w:rFonts w:cstheme="minorHAnsi"/>
                <w:b/>
                <w:bCs/>
                <w:sz w:val="24"/>
                <w:szCs w:val="24"/>
              </w:rPr>
              <w:t>Title</w:t>
            </w:r>
            <w:r w:rsidRPr="00C96D04">
              <w:rPr>
                <w:rFonts w:cstheme="minorHAnsi"/>
                <w:sz w:val="24"/>
                <w:szCs w:val="24"/>
              </w:rPr>
              <w:t>:</w:t>
            </w:r>
          </w:p>
        </w:tc>
        <w:tc>
          <w:tcPr>
            <w:tcW w:w="4693" w:type="dxa"/>
            <w:gridSpan w:val="2"/>
            <w:tcBorders>
              <w:top w:val="single" w:sz="12" w:space="0" w:color="auto"/>
            </w:tcBorders>
            <w:vAlign w:val="center"/>
          </w:tcPr>
          <w:p w14:paraId="51A3C92C" w14:textId="3DB33D63" w:rsidR="00435C83" w:rsidRPr="00C96D04" w:rsidRDefault="007F085D" w:rsidP="00186465">
            <w:pPr>
              <w:jc w:val="center"/>
              <w:rPr>
                <w:rFonts w:cstheme="minorHAnsi"/>
              </w:rPr>
            </w:pPr>
            <w:r>
              <w:rPr>
                <w:rFonts w:cstheme="minorHAnsi"/>
              </w:rPr>
              <w:t>CHILD DEATH INVESTIGATION</w:t>
            </w:r>
          </w:p>
        </w:tc>
        <w:tc>
          <w:tcPr>
            <w:tcW w:w="1352" w:type="dxa"/>
            <w:gridSpan w:val="2"/>
            <w:tcBorders>
              <w:top w:val="single" w:sz="12" w:space="0" w:color="auto"/>
            </w:tcBorders>
            <w:vAlign w:val="center"/>
          </w:tcPr>
          <w:p w14:paraId="1369728E" w14:textId="00B7D1AC" w:rsidR="00435C83" w:rsidRPr="00C96D04" w:rsidRDefault="00435C83" w:rsidP="00186465">
            <w:pPr>
              <w:jc w:val="center"/>
              <w:rPr>
                <w:rFonts w:cstheme="minorHAnsi"/>
                <w:sz w:val="24"/>
                <w:szCs w:val="24"/>
              </w:rPr>
            </w:pPr>
            <w:r w:rsidRPr="00C96D04">
              <w:rPr>
                <w:rFonts w:cstheme="minorHAnsi"/>
                <w:b/>
                <w:bCs/>
                <w:sz w:val="24"/>
                <w:szCs w:val="24"/>
              </w:rPr>
              <w:t>Policy #</w:t>
            </w:r>
          </w:p>
        </w:tc>
        <w:tc>
          <w:tcPr>
            <w:tcW w:w="1560" w:type="dxa"/>
            <w:tcBorders>
              <w:top w:val="single" w:sz="12" w:space="0" w:color="auto"/>
              <w:right w:val="single" w:sz="12" w:space="0" w:color="auto"/>
            </w:tcBorders>
            <w:vAlign w:val="center"/>
          </w:tcPr>
          <w:p w14:paraId="291C0BC7" w14:textId="05BC64F9" w:rsidR="00435C83" w:rsidRPr="00C96D04" w:rsidRDefault="001A6A86" w:rsidP="00186465">
            <w:pPr>
              <w:jc w:val="center"/>
              <w:rPr>
                <w:rFonts w:cstheme="minorHAnsi"/>
                <w:sz w:val="24"/>
                <w:szCs w:val="24"/>
              </w:rPr>
            </w:pPr>
            <w:r>
              <w:rPr>
                <w:rFonts w:cstheme="minorHAnsi"/>
                <w:sz w:val="24"/>
                <w:szCs w:val="24"/>
              </w:rPr>
              <w:t>I.2.02</w:t>
            </w:r>
          </w:p>
        </w:tc>
      </w:tr>
      <w:tr w:rsidR="007E3A20" w14:paraId="053E9FC0" w14:textId="71F50D38" w:rsidTr="00F824B9">
        <w:trPr>
          <w:trHeight w:val="443"/>
        </w:trPr>
        <w:tc>
          <w:tcPr>
            <w:tcW w:w="1653" w:type="dxa"/>
            <w:vMerge/>
            <w:tcBorders>
              <w:left w:val="nil"/>
              <w:right w:val="nil"/>
            </w:tcBorders>
          </w:tcPr>
          <w:p w14:paraId="7A4D41EC" w14:textId="77777777" w:rsidR="007E3A20" w:rsidRDefault="007E3A20" w:rsidP="00186465"/>
        </w:tc>
        <w:tc>
          <w:tcPr>
            <w:tcW w:w="1137" w:type="dxa"/>
            <w:tcBorders>
              <w:left w:val="nil"/>
            </w:tcBorders>
            <w:vAlign w:val="center"/>
          </w:tcPr>
          <w:p w14:paraId="00E704AE" w14:textId="17FA2DB3" w:rsidR="007E3A20" w:rsidRPr="00C96D04" w:rsidRDefault="007E3A20" w:rsidP="00186465">
            <w:pPr>
              <w:jc w:val="center"/>
              <w:rPr>
                <w:rFonts w:cstheme="minorHAnsi"/>
                <w:sz w:val="24"/>
                <w:szCs w:val="24"/>
              </w:rPr>
            </w:pPr>
            <w:r w:rsidRPr="00C96D04">
              <w:rPr>
                <w:rFonts w:cstheme="minorHAnsi"/>
                <w:b/>
                <w:bCs/>
                <w:sz w:val="24"/>
                <w:szCs w:val="24"/>
              </w:rPr>
              <w:t>Division:</w:t>
            </w:r>
          </w:p>
        </w:tc>
        <w:tc>
          <w:tcPr>
            <w:tcW w:w="4693" w:type="dxa"/>
            <w:gridSpan w:val="2"/>
            <w:vAlign w:val="center"/>
          </w:tcPr>
          <w:p w14:paraId="39AB4A1F" w14:textId="37D52302" w:rsidR="007E3A20" w:rsidRPr="00C96D04" w:rsidRDefault="007E3A20" w:rsidP="00186465">
            <w:pPr>
              <w:jc w:val="center"/>
              <w:rPr>
                <w:rFonts w:cstheme="minorHAnsi"/>
              </w:rPr>
            </w:pPr>
            <w:r>
              <w:rPr>
                <w:rFonts w:cstheme="minorHAnsi"/>
              </w:rPr>
              <w:t>Investigation</w:t>
            </w:r>
          </w:p>
        </w:tc>
        <w:tc>
          <w:tcPr>
            <w:tcW w:w="1352" w:type="dxa"/>
            <w:gridSpan w:val="2"/>
            <w:vAlign w:val="center"/>
          </w:tcPr>
          <w:p w14:paraId="7B4768F7" w14:textId="53EAA651" w:rsidR="007E3A20" w:rsidRPr="00C96D04" w:rsidRDefault="007E3A20" w:rsidP="00186465">
            <w:pPr>
              <w:jc w:val="center"/>
              <w:rPr>
                <w:rFonts w:cstheme="minorHAnsi"/>
                <w:b/>
                <w:bCs/>
                <w:sz w:val="24"/>
                <w:szCs w:val="24"/>
              </w:rPr>
            </w:pPr>
            <w:r w:rsidRPr="00C96D04">
              <w:rPr>
                <w:rFonts w:cstheme="minorHAnsi"/>
                <w:b/>
                <w:bCs/>
                <w:sz w:val="24"/>
                <w:szCs w:val="24"/>
              </w:rPr>
              <w:t>Page:</w:t>
            </w:r>
          </w:p>
        </w:tc>
        <w:tc>
          <w:tcPr>
            <w:tcW w:w="1560" w:type="dxa"/>
            <w:tcBorders>
              <w:right w:val="single" w:sz="12" w:space="0" w:color="auto"/>
            </w:tcBorders>
            <w:vAlign w:val="center"/>
          </w:tcPr>
          <w:p w14:paraId="61090977" w14:textId="789716E4" w:rsidR="007E3A20" w:rsidRPr="007E3A20" w:rsidRDefault="007E3A20" w:rsidP="007E3A20">
            <w:pPr>
              <w:jc w:val="center"/>
              <w:rPr>
                <w:rFonts w:cstheme="minorHAnsi"/>
              </w:rPr>
            </w:pPr>
            <w:r w:rsidRPr="007E3A20">
              <w:rPr>
                <w:rFonts w:cstheme="minorHAnsi"/>
              </w:rPr>
              <w:t xml:space="preserve">Page </w:t>
            </w:r>
            <w:r w:rsidRPr="007E3A20">
              <w:rPr>
                <w:rFonts w:cstheme="minorHAnsi"/>
              </w:rPr>
              <w:fldChar w:fldCharType="begin"/>
            </w:r>
            <w:r w:rsidRPr="007E3A20">
              <w:rPr>
                <w:rFonts w:cstheme="minorHAnsi"/>
              </w:rPr>
              <w:instrText xml:space="preserve"> PAGE  \* Arabic  \* MERGEFORMAT </w:instrText>
            </w:r>
            <w:r w:rsidRPr="007E3A20">
              <w:rPr>
                <w:rFonts w:cstheme="minorHAnsi"/>
              </w:rPr>
              <w:fldChar w:fldCharType="separate"/>
            </w:r>
            <w:r w:rsidRPr="007E3A20">
              <w:rPr>
                <w:rFonts w:cstheme="minorHAnsi"/>
                <w:noProof/>
              </w:rPr>
              <w:t>1</w:t>
            </w:r>
            <w:r w:rsidRPr="007E3A20">
              <w:rPr>
                <w:rFonts w:cstheme="minorHAnsi"/>
              </w:rPr>
              <w:fldChar w:fldCharType="end"/>
            </w:r>
            <w:r w:rsidRPr="007E3A20">
              <w:rPr>
                <w:rFonts w:cstheme="minorHAnsi"/>
              </w:rPr>
              <w:t xml:space="preserve"> of </w:t>
            </w:r>
            <w:r w:rsidRPr="007E3A20">
              <w:rPr>
                <w:rFonts w:cstheme="minorHAnsi"/>
              </w:rPr>
              <w:fldChar w:fldCharType="begin"/>
            </w:r>
            <w:r w:rsidRPr="007E3A20">
              <w:rPr>
                <w:rFonts w:cstheme="minorHAnsi"/>
              </w:rPr>
              <w:instrText xml:space="preserve"> NUMPAGES  \* Arabic  \* MERGEFORMAT </w:instrText>
            </w:r>
            <w:r w:rsidRPr="007E3A20">
              <w:rPr>
                <w:rFonts w:cstheme="minorHAnsi"/>
              </w:rPr>
              <w:fldChar w:fldCharType="separate"/>
            </w:r>
            <w:r w:rsidRPr="007E3A20">
              <w:rPr>
                <w:rFonts w:cstheme="minorHAnsi"/>
                <w:noProof/>
              </w:rPr>
              <w:t>3</w:t>
            </w:r>
            <w:r w:rsidRPr="007E3A20">
              <w:rPr>
                <w:rFonts w:cstheme="minorHAnsi"/>
              </w:rPr>
              <w:fldChar w:fldCharType="end"/>
            </w:r>
          </w:p>
        </w:tc>
      </w:tr>
      <w:tr w:rsidR="00F059F0" w14:paraId="39022FCF" w14:textId="078DB152" w:rsidTr="00F8353E">
        <w:trPr>
          <w:trHeight w:val="668"/>
        </w:trPr>
        <w:tc>
          <w:tcPr>
            <w:tcW w:w="2790" w:type="dxa"/>
            <w:gridSpan w:val="2"/>
            <w:tcBorders>
              <w:left w:val="single" w:sz="12" w:space="0" w:color="auto"/>
            </w:tcBorders>
            <w:vAlign w:val="center"/>
          </w:tcPr>
          <w:p w14:paraId="19C4849A" w14:textId="05B7BFA5" w:rsidR="00F059F0" w:rsidRPr="00C96D04" w:rsidRDefault="00F059F0" w:rsidP="00186465">
            <w:pPr>
              <w:jc w:val="center"/>
              <w:rPr>
                <w:rFonts w:cstheme="minorHAnsi"/>
                <w:b/>
                <w:bCs/>
                <w:sz w:val="24"/>
                <w:szCs w:val="24"/>
              </w:rPr>
            </w:pPr>
            <w:r w:rsidRPr="00C96D04">
              <w:rPr>
                <w:rFonts w:cstheme="minorHAnsi"/>
                <w:b/>
                <w:bCs/>
                <w:sz w:val="24"/>
                <w:szCs w:val="24"/>
              </w:rPr>
              <w:t>Coroner Signature:</w:t>
            </w:r>
          </w:p>
        </w:tc>
        <w:tc>
          <w:tcPr>
            <w:tcW w:w="2995" w:type="dxa"/>
            <w:vAlign w:val="center"/>
          </w:tcPr>
          <w:p w14:paraId="231FC0E5" w14:textId="70DBAB6D" w:rsidR="00F059F0" w:rsidRPr="00236AC2" w:rsidRDefault="00236AC2" w:rsidP="00F8353E">
            <w:pPr>
              <w:jc w:val="center"/>
              <w:rPr>
                <w:rFonts w:cstheme="minorHAnsi"/>
                <w:color w:val="0070C0"/>
              </w:rPr>
            </w:pPr>
            <w:r w:rsidRPr="00236AC2">
              <w:rPr>
                <w:noProof/>
                <w:color w:val="0070C0"/>
                <w:sz w:val="24"/>
                <w:szCs w:val="24"/>
              </w:rPr>
              <w:drawing>
                <wp:anchor distT="0" distB="0" distL="114300" distR="114300" simplePos="0" relativeHeight="251658241" behindDoc="1" locked="0" layoutInCell="1" allowOverlap="1" wp14:anchorId="364C728E" wp14:editId="337666D8">
                  <wp:simplePos x="0" y="0"/>
                  <wp:positionH relativeFrom="column">
                    <wp:posOffset>-466725</wp:posOffset>
                  </wp:positionH>
                  <wp:positionV relativeFrom="page">
                    <wp:posOffset>-135890</wp:posOffset>
                  </wp:positionV>
                  <wp:extent cx="2657475" cy="664845"/>
                  <wp:effectExtent l="0" t="0" r="952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7475" cy="664845"/>
                          </a:xfrm>
                          <a:prstGeom prst="rect">
                            <a:avLst/>
                          </a:prstGeom>
                        </pic:spPr>
                      </pic:pic>
                    </a:graphicData>
                  </a:graphic>
                  <wp14:sizeRelH relativeFrom="page">
                    <wp14:pctWidth>0</wp14:pctWidth>
                  </wp14:sizeRelH>
                  <wp14:sizeRelV relativeFrom="page">
                    <wp14:pctHeight>0</wp14:pctHeight>
                  </wp14:sizeRelV>
                </wp:anchor>
              </w:drawing>
            </w:r>
          </w:p>
        </w:tc>
        <w:tc>
          <w:tcPr>
            <w:tcW w:w="2420" w:type="dxa"/>
            <w:gridSpan w:val="2"/>
            <w:tcBorders>
              <w:right w:val="single" w:sz="4" w:space="0" w:color="auto"/>
            </w:tcBorders>
            <w:vAlign w:val="center"/>
          </w:tcPr>
          <w:p w14:paraId="4AFF2383" w14:textId="6123D5A0" w:rsidR="00F059F0" w:rsidRPr="00C96D04" w:rsidRDefault="00F059F0" w:rsidP="00186465">
            <w:pPr>
              <w:jc w:val="center"/>
              <w:rPr>
                <w:rFonts w:cstheme="minorHAnsi"/>
                <w:b/>
                <w:bCs/>
                <w:sz w:val="24"/>
                <w:szCs w:val="24"/>
              </w:rPr>
            </w:pPr>
            <w:r w:rsidRPr="00C96D04">
              <w:rPr>
                <w:rFonts w:cstheme="minorHAnsi"/>
                <w:b/>
                <w:bCs/>
                <w:sz w:val="24"/>
                <w:szCs w:val="24"/>
              </w:rPr>
              <w:t>NAME Reference:</w:t>
            </w:r>
          </w:p>
        </w:tc>
        <w:tc>
          <w:tcPr>
            <w:tcW w:w="2190" w:type="dxa"/>
            <w:gridSpan w:val="2"/>
            <w:tcBorders>
              <w:right w:val="single" w:sz="12" w:space="0" w:color="auto"/>
            </w:tcBorders>
            <w:vAlign w:val="center"/>
          </w:tcPr>
          <w:p w14:paraId="61D8405F" w14:textId="57A0B63A" w:rsidR="00F059F0" w:rsidRPr="00C96D04" w:rsidRDefault="00CB060C" w:rsidP="00F8353E">
            <w:pPr>
              <w:jc w:val="center"/>
              <w:rPr>
                <w:rFonts w:cstheme="minorHAnsi"/>
              </w:rPr>
            </w:pPr>
            <w:r>
              <w:rPr>
                <w:rFonts w:cstheme="minorHAnsi"/>
              </w:rPr>
              <w:t>B3i</w:t>
            </w:r>
          </w:p>
        </w:tc>
      </w:tr>
      <w:tr w:rsidR="00F059F0" w14:paraId="699B9FF3" w14:textId="77777777" w:rsidTr="00F8353E">
        <w:trPr>
          <w:trHeight w:val="740"/>
        </w:trPr>
        <w:tc>
          <w:tcPr>
            <w:tcW w:w="2790" w:type="dxa"/>
            <w:gridSpan w:val="2"/>
            <w:tcBorders>
              <w:left w:val="single" w:sz="12" w:space="0" w:color="auto"/>
              <w:bottom w:val="single" w:sz="12" w:space="0" w:color="auto"/>
            </w:tcBorders>
            <w:vAlign w:val="center"/>
          </w:tcPr>
          <w:p w14:paraId="6A3AE111" w14:textId="3757DAD4" w:rsidR="00F059F0" w:rsidRPr="00C96D04" w:rsidRDefault="00F059F0" w:rsidP="00186465">
            <w:pPr>
              <w:jc w:val="center"/>
              <w:rPr>
                <w:rFonts w:cstheme="minorHAnsi"/>
                <w:b/>
                <w:bCs/>
                <w:sz w:val="24"/>
                <w:szCs w:val="24"/>
              </w:rPr>
            </w:pPr>
            <w:r w:rsidRPr="00C96D04">
              <w:rPr>
                <w:rFonts w:cstheme="minorHAnsi"/>
                <w:b/>
                <w:bCs/>
                <w:sz w:val="24"/>
                <w:szCs w:val="24"/>
              </w:rPr>
              <w:t>Approved/Revised Date:</w:t>
            </w:r>
          </w:p>
        </w:tc>
        <w:tc>
          <w:tcPr>
            <w:tcW w:w="2995" w:type="dxa"/>
            <w:tcBorders>
              <w:bottom w:val="single" w:sz="12" w:space="0" w:color="auto"/>
            </w:tcBorders>
            <w:vAlign w:val="center"/>
          </w:tcPr>
          <w:p w14:paraId="7A2C4A96" w14:textId="6DCB833B" w:rsidR="00F059F0" w:rsidRPr="00236AC2" w:rsidRDefault="00236AC2" w:rsidP="00F8353E">
            <w:pPr>
              <w:jc w:val="center"/>
              <w:rPr>
                <w:rFonts w:cstheme="minorHAnsi"/>
                <w:b/>
                <w:bCs/>
                <w:color w:val="0070C0"/>
                <w:sz w:val="24"/>
                <w:szCs w:val="24"/>
              </w:rPr>
            </w:pPr>
            <w:r>
              <w:rPr>
                <w:rFonts w:cstheme="minorHAnsi"/>
                <w:b/>
                <w:bCs/>
                <w:color w:val="0070C0"/>
                <w:sz w:val="24"/>
                <w:szCs w:val="24"/>
              </w:rPr>
              <w:t>02-20-2024</w:t>
            </w:r>
          </w:p>
        </w:tc>
        <w:tc>
          <w:tcPr>
            <w:tcW w:w="2420" w:type="dxa"/>
            <w:gridSpan w:val="2"/>
            <w:tcBorders>
              <w:bottom w:val="single" w:sz="12" w:space="0" w:color="auto"/>
            </w:tcBorders>
            <w:vAlign w:val="center"/>
          </w:tcPr>
          <w:p w14:paraId="4F59EF38" w14:textId="05561340" w:rsidR="00F059F0" w:rsidRPr="00C96D04" w:rsidRDefault="00F059F0" w:rsidP="00186465">
            <w:pPr>
              <w:jc w:val="center"/>
              <w:rPr>
                <w:rFonts w:cstheme="minorHAnsi"/>
                <w:b/>
                <w:bCs/>
                <w:sz w:val="24"/>
                <w:szCs w:val="24"/>
              </w:rPr>
            </w:pPr>
            <w:r w:rsidRPr="00C96D04">
              <w:rPr>
                <w:rFonts w:cstheme="minorHAnsi"/>
                <w:b/>
                <w:bCs/>
                <w:sz w:val="24"/>
                <w:szCs w:val="24"/>
              </w:rPr>
              <w:t>IACME Reference:</w:t>
            </w:r>
          </w:p>
        </w:tc>
        <w:tc>
          <w:tcPr>
            <w:tcW w:w="2190" w:type="dxa"/>
            <w:gridSpan w:val="2"/>
            <w:tcBorders>
              <w:bottom w:val="single" w:sz="12" w:space="0" w:color="auto"/>
              <w:right w:val="single" w:sz="12" w:space="0" w:color="auto"/>
            </w:tcBorders>
            <w:vAlign w:val="center"/>
          </w:tcPr>
          <w:p w14:paraId="16CA4A93" w14:textId="598B943B" w:rsidR="00F059F0" w:rsidRPr="00C96D04" w:rsidRDefault="00185411" w:rsidP="00F8353E">
            <w:pPr>
              <w:jc w:val="center"/>
              <w:rPr>
                <w:rFonts w:cstheme="minorHAnsi"/>
              </w:rPr>
            </w:pPr>
            <w:r>
              <w:rPr>
                <w:rFonts w:cstheme="minorHAnsi"/>
              </w:rPr>
              <w:t>B1</w:t>
            </w:r>
            <w:r w:rsidR="00142F3A">
              <w:rPr>
                <w:rFonts w:cstheme="minorHAnsi"/>
              </w:rPr>
              <w:t>d</w:t>
            </w:r>
            <w:r>
              <w:rPr>
                <w:rFonts w:cstheme="minorHAnsi"/>
              </w:rPr>
              <w:t>,</w:t>
            </w:r>
            <w:r w:rsidRPr="00671ABB">
              <w:rPr>
                <w:rFonts w:cstheme="minorHAnsi"/>
              </w:rPr>
              <w:t>B1</w:t>
            </w:r>
            <w:r w:rsidR="00142F3A">
              <w:rPr>
                <w:rFonts w:cstheme="minorHAnsi"/>
              </w:rPr>
              <w:t>e</w:t>
            </w:r>
            <w:r w:rsidRPr="00671ABB">
              <w:rPr>
                <w:rFonts w:cstheme="minorHAnsi"/>
              </w:rPr>
              <w:t>,B1</w:t>
            </w:r>
            <w:r w:rsidR="00142F3A">
              <w:rPr>
                <w:rFonts w:cstheme="minorHAnsi"/>
              </w:rPr>
              <w:t>f</w:t>
            </w:r>
            <w:r w:rsidRPr="00671ABB">
              <w:rPr>
                <w:rFonts w:cstheme="minorHAnsi"/>
              </w:rPr>
              <w:t>,B1</w:t>
            </w:r>
            <w:r w:rsidR="00142F3A">
              <w:rPr>
                <w:rFonts w:cstheme="minorHAnsi"/>
              </w:rPr>
              <w:t>g</w:t>
            </w:r>
            <w:r w:rsidRPr="00671ABB">
              <w:rPr>
                <w:rFonts w:cstheme="minorHAnsi"/>
              </w:rPr>
              <w:t>,</w:t>
            </w:r>
            <w:r>
              <w:rPr>
                <w:rFonts w:cstheme="minorHAnsi"/>
              </w:rPr>
              <w:t xml:space="preserve"> B1</w:t>
            </w:r>
            <w:r w:rsidR="00142F3A">
              <w:rPr>
                <w:rFonts w:cstheme="minorHAnsi"/>
              </w:rPr>
              <w:t>h</w:t>
            </w:r>
            <w:r>
              <w:rPr>
                <w:rFonts w:cstheme="minorHAnsi"/>
              </w:rPr>
              <w:t>,B1</w:t>
            </w:r>
            <w:r w:rsidR="00142F3A">
              <w:rPr>
                <w:rFonts w:cstheme="minorHAnsi"/>
              </w:rPr>
              <w:t>i</w:t>
            </w:r>
          </w:p>
        </w:tc>
      </w:tr>
    </w:tbl>
    <w:p w14:paraId="0B118C5D" w14:textId="1F210FA2" w:rsidR="00186465" w:rsidRDefault="004A3DA8">
      <w:r>
        <w:rPr>
          <w:noProof/>
        </w:rPr>
        <w:drawing>
          <wp:anchor distT="0" distB="0" distL="114300" distR="114300" simplePos="0" relativeHeight="251658240" behindDoc="0" locked="0" layoutInCell="1" allowOverlap="1" wp14:anchorId="29AB3DE7" wp14:editId="41D05D79">
            <wp:simplePos x="0" y="0"/>
            <wp:positionH relativeFrom="column">
              <wp:posOffset>-333375</wp:posOffset>
            </wp:positionH>
            <wp:positionV relativeFrom="paragraph">
              <wp:posOffset>-352425</wp:posOffset>
            </wp:positionV>
            <wp:extent cx="923925" cy="9239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57E527" w14:textId="36BE20C7" w:rsidR="00186465" w:rsidRDefault="00186465"/>
    <w:p w14:paraId="44AC4181" w14:textId="03BB2885" w:rsidR="00186465" w:rsidRDefault="00186465" w:rsidP="00186465">
      <w:pPr>
        <w:spacing w:before="161" w:line="276" w:lineRule="auto"/>
        <w:ind w:left="-540" w:right="144"/>
        <w:jc w:val="both"/>
        <w:textAlignment w:val="baseline"/>
        <w:rPr>
          <w:rFonts w:eastAsia="Times New Roman" w:cstheme="minorHAnsi"/>
          <w:color w:val="000000"/>
          <w:sz w:val="24"/>
          <w:szCs w:val="24"/>
        </w:rPr>
      </w:pPr>
      <w:r w:rsidRPr="00186465">
        <w:rPr>
          <w:rFonts w:eastAsia="Times New Roman" w:cstheme="minorHAnsi"/>
          <w:b/>
          <w:bCs/>
          <w:color w:val="000000"/>
          <w:sz w:val="24"/>
          <w:szCs w:val="24"/>
          <w:u w:val="single"/>
        </w:rPr>
        <w:t>POLICY</w:t>
      </w:r>
      <w:r w:rsidRPr="00186465">
        <w:rPr>
          <w:rFonts w:eastAsia="Times New Roman" w:cstheme="minorHAnsi"/>
          <w:color w:val="000000"/>
          <w:sz w:val="24"/>
          <w:szCs w:val="24"/>
        </w:rPr>
        <w:t>:</w:t>
      </w:r>
    </w:p>
    <w:p w14:paraId="72B3797E" w14:textId="77122DC8" w:rsidR="00374477" w:rsidRDefault="00374477" w:rsidP="00374477">
      <w:pPr>
        <w:spacing w:before="161" w:line="276" w:lineRule="auto"/>
        <w:ind w:right="144"/>
        <w:jc w:val="both"/>
        <w:textAlignment w:val="baseline"/>
        <w:rPr>
          <w:rFonts w:eastAsia="Times New Roman" w:cstheme="minorHAnsi"/>
          <w:color w:val="000000"/>
          <w:sz w:val="24"/>
          <w:szCs w:val="24"/>
        </w:rPr>
      </w:pPr>
      <w:r>
        <w:rPr>
          <w:rFonts w:eastAsia="Times New Roman" w:cstheme="minorHAnsi"/>
          <w:color w:val="000000"/>
          <w:sz w:val="24"/>
          <w:szCs w:val="24"/>
        </w:rPr>
        <w:t xml:space="preserve">All </w:t>
      </w:r>
      <w:r w:rsidR="00031595">
        <w:rPr>
          <w:rFonts w:eastAsia="Times New Roman" w:cstheme="minorHAnsi"/>
          <w:color w:val="000000"/>
          <w:sz w:val="24"/>
          <w:szCs w:val="24"/>
        </w:rPr>
        <w:t xml:space="preserve">stillbirth, infant, and child </w:t>
      </w:r>
      <w:r>
        <w:rPr>
          <w:rFonts w:eastAsia="Times New Roman" w:cstheme="minorHAnsi"/>
          <w:color w:val="000000"/>
          <w:sz w:val="24"/>
          <w:szCs w:val="24"/>
        </w:rPr>
        <w:t xml:space="preserve">deaths reported to the Ada County Coroner’s Office (ACCO) shall be thoroughly investigated by a medicolegal death investigator to determine jurisdiction, and for those deaths which fall under the jurisdiction of the Ada County Coroner, to aid in the certification of the cause and manner of death. </w:t>
      </w:r>
      <w:r w:rsidR="007F085D">
        <w:rPr>
          <w:rFonts w:eastAsia="Times New Roman" w:cstheme="minorHAnsi"/>
          <w:color w:val="000000"/>
          <w:sz w:val="24"/>
          <w:szCs w:val="24"/>
        </w:rPr>
        <w:t xml:space="preserve">The ACCO shall investigate child deaths </w:t>
      </w:r>
      <w:r w:rsidR="00EF639C">
        <w:rPr>
          <w:rFonts w:eastAsia="Times New Roman" w:cstheme="minorHAnsi"/>
          <w:color w:val="000000"/>
          <w:sz w:val="24"/>
          <w:szCs w:val="24"/>
        </w:rPr>
        <w:t xml:space="preserve">with great sensitivity, careful scrutiny, and </w:t>
      </w:r>
      <w:r w:rsidR="007F085D">
        <w:rPr>
          <w:rFonts w:eastAsia="Times New Roman" w:cstheme="minorHAnsi"/>
          <w:color w:val="000000"/>
          <w:sz w:val="24"/>
          <w:szCs w:val="24"/>
        </w:rPr>
        <w:t xml:space="preserve">in accordance with the Centers for Disease Control and Prevention’s Sudden </w:t>
      </w:r>
      <w:r w:rsidR="002B7C39">
        <w:rPr>
          <w:rFonts w:eastAsia="Times New Roman" w:cstheme="minorHAnsi"/>
          <w:color w:val="000000"/>
          <w:sz w:val="24"/>
          <w:szCs w:val="24"/>
        </w:rPr>
        <w:t>Unexpected</w:t>
      </w:r>
      <w:r w:rsidR="007F085D">
        <w:rPr>
          <w:rFonts w:eastAsia="Times New Roman" w:cstheme="minorHAnsi"/>
          <w:color w:val="000000"/>
          <w:sz w:val="24"/>
          <w:szCs w:val="24"/>
        </w:rPr>
        <w:t xml:space="preserve"> Infant death Investigation guidelines.</w:t>
      </w:r>
    </w:p>
    <w:p w14:paraId="0480E994" w14:textId="608D742F" w:rsidR="001412B6" w:rsidRPr="001412B6" w:rsidRDefault="001412B6" w:rsidP="00186465">
      <w:pPr>
        <w:spacing w:before="161" w:line="276" w:lineRule="auto"/>
        <w:ind w:left="-540" w:right="144"/>
        <w:jc w:val="both"/>
        <w:textAlignment w:val="baseline"/>
        <w:rPr>
          <w:rFonts w:eastAsia="Times New Roman" w:cstheme="minorHAnsi"/>
          <w:b/>
          <w:bCs/>
          <w:color w:val="000000"/>
          <w:sz w:val="24"/>
          <w:szCs w:val="24"/>
        </w:rPr>
      </w:pPr>
    </w:p>
    <w:p w14:paraId="2DAF095D" w14:textId="646485CD" w:rsidR="001412B6" w:rsidRDefault="001412B6" w:rsidP="00186465">
      <w:pPr>
        <w:spacing w:before="161" w:line="276" w:lineRule="auto"/>
        <w:ind w:left="-540" w:right="144"/>
        <w:jc w:val="both"/>
        <w:textAlignment w:val="baseline"/>
        <w:rPr>
          <w:rFonts w:eastAsia="Times New Roman" w:cstheme="minorHAnsi"/>
          <w:color w:val="000000"/>
          <w:sz w:val="24"/>
          <w:szCs w:val="24"/>
        </w:rPr>
      </w:pPr>
      <w:r w:rsidRPr="001412B6">
        <w:rPr>
          <w:rFonts w:eastAsia="Times New Roman" w:cstheme="minorHAnsi"/>
          <w:b/>
          <w:bCs/>
          <w:color w:val="000000"/>
          <w:sz w:val="24"/>
          <w:szCs w:val="24"/>
          <w:u w:val="single"/>
        </w:rPr>
        <w:t>PROCEDURE</w:t>
      </w:r>
      <w:r>
        <w:rPr>
          <w:rFonts w:eastAsia="Times New Roman" w:cstheme="minorHAnsi"/>
          <w:color w:val="000000"/>
          <w:sz w:val="24"/>
          <w:szCs w:val="24"/>
        </w:rPr>
        <w:t>:</w:t>
      </w:r>
    </w:p>
    <w:p w14:paraId="7F6DE448" w14:textId="0266DB25" w:rsidR="001E43A1" w:rsidRPr="001E43A1" w:rsidRDefault="001E43A1" w:rsidP="005877D6">
      <w:pPr>
        <w:spacing w:before="161" w:line="276" w:lineRule="auto"/>
        <w:ind w:right="144"/>
        <w:jc w:val="both"/>
        <w:textAlignment w:val="baseline"/>
        <w:rPr>
          <w:rFonts w:eastAsia="Times New Roman" w:cstheme="minorHAnsi"/>
          <w:color w:val="000000"/>
          <w:sz w:val="24"/>
          <w:szCs w:val="24"/>
        </w:rPr>
      </w:pPr>
      <w:r>
        <w:rPr>
          <w:rFonts w:eastAsia="Times New Roman" w:cstheme="minorHAnsi"/>
          <w:color w:val="000000"/>
          <w:sz w:val="24"/>
          <w:szCs w:val="24"/>
        </w:rPr>
        <w:t>The term stillbirth shall apply to the death of a fetus from twenty (20) weeks gestation until before or during delivery. The term infant shall apply from birth to twelve (12) months of age,</w:t>
      </w:r>
      <w:r w:rsidR="00C97336">
        <w:rPr>
          <w:rFonts w:eastAsia="Times New Roman" w:cstheme="minorHAnsi"/>
          <w:color w:val="000000"/>
          <w:sz w:val="24"/>
          <w:szCs w:val="24"/>
        </w:rPr>
        <w:t xml:space="preserve"> and</w:t>
      </w:r>
      <w:r>
        <w:rPr>
          <w:rFonts w:eastAsia="Times New Roman" w:cstheme="minorHAnsi"/>
          <w:color w:val="000000"/>
          <w:sz w:val="24"/>
          <w:szCs w:val="24"/>
        </w:rPr>
        <w:t xml:space="preserve"> the term child shall apply from twelve (12) months of age to eighteen (18) years old.</w:t>
      </w:r>
      <w:r w:rsidR="005877D6">
        <w:rPr>
          <w:rFonts w:eastAsia="Times New Roman" w:cstheme="minorHAnsi"/>
          <w:color w:val="000000"/>
          <w:sz w:val="24"/>
          <w:szCs w:val="24"/>
        </w:rPr>
        <w:t xml:space="preserve"> </w:t>
      </w:r>
    </w:p>
    <w:p w14:paraId="567DA4FC" w14:textId="40C33DFE" w:rsidR="00BB2EC6" w:rsidRDefault="00BB2EC6" w:rsidP="00F74A1D">
      <w:pPr>
        <w:pStyle w:val="ListParagraph"/>
        <w:numPr>
          <w:ilvl w:val="0"/>
          <w:numId w:val="1"/>
        </w:numPr>
        <w:ind w:left="180"/>
        <w:jc w:val="both"/>
        <w:rPr>
          <w:b/>
          <w:bCs/>
          <w:sz w:val="24"/>
          <w:szCs w:val="24"/>
        </w:rPr>
      </w:pPr>
      <w:r w:rsidRPr="00BB2EC6">
        <w:rPr>
          <w:b/>
          <w:bCs/>
          <w:sz w:val="24"/>
          <w:szCs w:val="24"/>
        </w:rPr>
        <w:t>Stillbirth</w:t>
      </w:r>
    </w:p>
    <w:p w14:paraId="4F56992F" w14:textId="3FBA204A" w:rsidR="004D7948" w:rsidRDefault="004D7948" w:rsidP="00F74A1D">
      <w:pPr>
        <w:pStyle w:val="ListParagraph"/>
        <w:numPr>
          <w:ilvl w:val="1"/>
          <w:numId w:val="1"/>
        </w:numPr>
        <w:ind w:left="900"/>
        <w:jc w:val="both"/>
        <w:rPr>
          <w:sz w:val="24"/>
          <w:szCs w:val="24"/>
        </w:rPr>
      </w:pPr>
      <w:r>
        <w:rPr>
          <w:sz w:val="24"/>
          <w:szCs w:val="24"/>
        </w:rPr>
        <w:t>The Investigator shall notify the Investigation Supervisor/on-call Senior Deputy of</w:t>
      </w:r>
      <w:r w:rsidR="005E159E">
        <w:rPr>
          <w:sz w:val="24"/>
          <w:szCs w:val="24"/>
        </w:rPr>
        <w:t xml:space="preserve"> any</w:t>
      </w:r>
      <w:r>
        <w:rPr>
          <w:sz w:val="24"/>
          <w:szCs w:val="24"/>
        </w:rPr>
        <w:t xml:space="preserve"> trauma/accident.</w:t>
      </w:r>
    </w:p>
    <w:p w14:paraId="2A149E84" w14:textId="2DE7BCD1" w:rsidR="00B11BEC" w:rsidRPr="00031595" w:rsidRDefault="00B11BEC" w:rsidP="00F74A1D">
      <w:pPr>
        <w:pStyle w:val="ListParagraph"/>
        <w:numPr>
          <w:ilvl w:val="1"/>
          <w:numId w:val="1"/>
        </w:numPr>
        <w:ind w:left="900"/>
        <w:jc w:val="both"/>
        <w:rPr>
          <w:sz w:val="24"/>
          <w:szCs w:val="24"/>
        </w:rPr>
      </w:pPr>
      <w:r>
        <w:rPr>
          <w:sz w:val="24"/>
          <w:szCs w:val="24"/>
        </w:rPr>
        <w:t xml:space="preserve">The Investigator shall follow ACCO standard operating procedure for hospital communication and medical history review, prior to </w:t>
      </w:r>
      <w:r w:rsidR="004C58FD">
        <w:rPr>
          <w:sz w:val="24"/>
          <w:szCs w:val="24"/>
        </w:rPr>
        <w:t>the determination of non-jurisdictional release</w:t>
      </w:r>
      <w:r>
        <w:rPr>
          <w:sz w:val="24"/>
          <w:szCs w:val="24"/>
        </w:rPr>
        <w:t>.</w:t>
      </w:r>
    </w:p>
    <w:p w14:paraId="24BB0F42" w14:textId="77777777" w:rsidR="00BB2EC6" w:rsidRPr="00BB2EC6" w:rsidRDefault="00BB2EC6" w:rsidP="00F74A1D">
      <w:pPr>
        <w:pStyle w:val="ListParagraph"/>
        <w:numPr>
          <w:ilvl w:val="0"/>
          <w:numId w:val="1"/>
        </w:numPr>
        <w:ind w:left="180"/>
        <w:jc w:val="both"/>
        <w:rPr>
          <w:b/>
          <w:bCs/>
          <w:sz w:val="24"/>
          <w:szCs w:val="24"/>
        </w:rPr>
      </w:pPr>
      <w:r w:rsidRPr="00BB2EC6">
        <w:rPr>
          <w:b/>
          <w:bCs/>
          <w:sz w:val="24"/>
          <w:szCs w:val="24"/>
        </w:rPr>
        <w:t>Infant</w:t>
      </w:r>
    </w:p>
    <w:p w14:paraId="40EAB0B5" w14:textId="215793F0" w:rsidR="002B7C39" w:rsidRPr="002B7C39" w:rsidRDefault="00F74A1D" w:rsidP="002B7C39">
      <w:pPr>
        <w:pStyle w:val="ListParagraph"/>
        <w:numPr>
          <w:ilvl w:val="1"/>
          <w:numId w:val="1"/>
        </w:numPr>
        <w:ind w:left="900"/>
        <w:jc w:val="both"/>
        <w:rPr>
          <w:sz w:val="24"/>
          <w:szCs w:val="24"/>
        </w:rPr>
      </w:pPr>
      <w:r>
        <w:rPr>
          <w:sz w:val="24"/>
          <w:szCs w:val="24"/>
        </w:rPr>
        <w:t>The Investigator shall</w:t>
      </w:r>
      <w:r w:rsidR="008B6A0C">
        <w:rPr>
          <w:sz w:val="24"/>
          <w:szCs w:val="24"/>
        </w:rPr>
        <w:t>:</w:t>
      </w:r>
    </w:p>
    <w:p w14:paraId="2B2F2099" w14:textId="6CDBA235" w:rsidR="00F74A1D" w:rsidRDefault="008B6A0C" w:rsidP="00CE7860">
      <w:pPr>
        <w:pStyle w:val="ListParagraph"/>
        <w:numPr>
          <w:ilvl w:val="2"/>
          <w:numId w:val="1"/>
        </w:numPr>
        <w:ind w:left="1620" w:hanging="180"/>
        <w:jc w:val="both"/>
        <w:rPr>
          <w:sz w:val="24"/>
          <w:szCs w:val="24"/>
        </w:rPr>
      </w:pPr>
      <w:r>
        <w:rPr>
          <w:sz w:val="24"/>
          <w:szCs w:val="24"/>
        </w:rPr>
        <w:t>C</w:t>
      </w:r>
      <w:r w:rsidR="00F74A1D">
        <w:rPr>
          <w:sz w:val="24"/>
          <w:szCs w:val="24"/>
        </w:rPr>
        <w:t xml:space="preserve">omplete </w:t>
      </w:r>
      <w:r>
        <w:rPr>
          <w:sz w:val="24"/>
          <w:szCs w:val="24"/>
        </w:rPr>
        <w:t xml:space="preserve">the </w:t>
      </w:r>
      <w:r w:rsidR="00600E94">
        <w:rPr>
          <w:sz w:val="24"/>
          <w:szCs w:val="24"/>
        </w:rPr>
        <w:t xml:space="preserve">current </w:t>
      </w:r>
      <w:r w:rsidRPr="008B6A0C">
        <w:rPr>
          <w:i/>
          <w:iCs/>
          <w:sz w:val="24"/>
          <w:szCs w:val="24"/>
        </w:rPr>
        <w:t xml:space="preserve">Sudden Unexpected Infant Death Investigation Reporting Form (SUIDIRF) </w:t>
      </w:r>
      <w:r>
        <w:rPr>
          <w:sz w:val="24"/>
          <w:szCs w:val="24"/>
        </w:rPr>
        <w:t>developed by the Department of Health and Human Services, Centers for Disease Control and Prevention.</w:t>
      </w:r>
    </w:p>
    <w:p w14:paraId="787286D9" w14:textId="6578DB40" w:rsidR="008B6A0C" w:rsidRDefault="005D3373" w:rsidP="00CE7860">
      <w:pPr>
        <w:pStyle w:val="ListParagraph"/>
        <w:numPr>
          <w:ilvl w:val="2"/>
          <w:numId w:val="1"/>
        </w:numPr>
        <w:ind w:left="1620" w:hanging="180"/>
        <w:jc w:val="both"/>
        <w:rPr>
          <w:sz w:val="24"/>
          <w:szCs w:val="24"/>
        </w:rPr>
      </w:pPr>
      <w:r>
        <w:rPr>
          <w:sz w:val="24"/>
          <w:szCs w:val="24"/>
        </w:rPr>
        <w:t>Photograph the scene,</w:t>
      </w:r>
      <w:r w:rsidR="004C58FD">
        <w:rPr>
          <w:sz w:val="24"/>
          <w:szCs w:val="24"/>
        </w:rPr>
        <w:t xml:space="preserve"> </w:t>
      </w:r>
      <w:r>
        <w:rPr>
          <w:sz w:val="24"/>
          <w:szCs w:val="24"/>
        </w:rPr>
        <w:t>decedent, bedding, and any formula</w:t>
      </w:r>
      <w:r w:rsidR="00600E94">
        <w:rPr>
          <w:sz w:val="24"/>
          <w:szCs w:val="24"/>
        </w:rPr>
        <w:t xml:space="preserve"> found</w:t>
      </w:r>
      <w:r w:rsidR="004C58FD">
        <w:rPr>
          <w:sz w:val="24"/>
          <w:szCs w:val="24"/>
        </w:rPr>
        <w:t xml:space="preserve"> on scene</w:t>
      </w:r>
      <w:r>
        <w:rPr>
          <w:sz w:val="24"/>
          <w:szCs w:val="24"/>
        </w:rPr>
        <w:t>.</w:t>
      </w:r>
    </w:p>
    <w:p w14:paraId="0E5B4EBD" w14:textId="441F9B2C" w:rsidR="005D3373" w:rsidRDefault="005D3373" w:rsidP="00CE7860">
      <w:pPr>
        <w:pStyle w:val="ListParagraph"/>
        <w:numPr>
          <w:ilvl w:val="2"/>
          <w:numId w:val="1"/>
        </w:numPr>
        <w:ind w:left="1620" w:hanging="180"/>
        <w:jc w:val="both"/>
        <w:rPr>
          <w:sz w:val="24"/>
          <w:szCs w:val="24"/>
        </w:rPr>
      </w:pPr>
      <w:r>
        <w:rPr>
          <w:sz w:val="24"/>
          <w:szCs w:val="24"/>
        </w:rPr>
        <w:t>Complete a full infant investigation</w:t>
      </w:r>
      <w:r w:rsidR="00600E94">
        <w:rPr>
          <w:sz w:val="24"/>
          <w:szCs w:val="24"/>
        </w:rPr>
        <w:t xml:space="preserve"> in accordance with ACCO standard operating procedure</w:t>
      </w:r>
      <w:r>
        <w:rPr>
          <w:sz w:val="24"/>
          <w:szCs w:val="24"/>
        </w:rPr>
        <w:t>.</w:t>
      </w:r>
    </w:p>
    <w:p w14:paraId="13D206F3" w14:textId="041A91D4" w:rsidR="00CA709E" w:rsidRDefault="005D3373" w:rsidP="00CE7860">
      <w:pPr>
        <w:pStyle w:val="ListParagraph"/>
        <w:numPr>
          <w:ilvl w:val="2"/>
          <w:numId w:val="1"/>
        </w:numPr>
        <w:ind w:left="1620" w:hanging="180"/>
        <w:jc w:val="both"/>
        <w:rPr>
          <w:sz w:val="24"/>
          <w:szCs w:val="24"/>
        </w:rPr>
      </w:pPr>
      <w:r>
        <w:rPr>
          <w:sz w:val="24"/>
          <w:szCs w:val="24"/>
        </w:rPr>
        <w:t xml:space="preserve">Allow family to hold and/or touch the </w:t>
      </w:r>
      <w:r w:rsidR="00CA709E">
        <w:rPr>
          <w:sz w:val="24"/>
          <w:szCs w:val="24"/>
        </w:rPr>
        <w:t>infant if</w:t>
      </w:r>
      <w:r>
        <w:rPr>
          <w:sz w:val="24"/>
          <w:szCs w:val="24"/>
        </w:rPr>
        <w:t xml:space="preserve"> no suspicious activit</w:t>
      </w:r>
      <w:r w:rsidR="00600E94">
        <w:rPr>
          <w:sz w:val="24"/>
          <w:szCs w:val="24"/>
        </w:rPr>
        <w:t>y</w:t>
      </w:r>
      <w:r>
        <w:rPr>
          <w:sz w:val="24"/>
          <w:szCs w:val="24"/>
        </w:rPr>
        <w:t xml:space="preserve"> </w:t>
      </w:r>
      <w:r w:rsidR="00600E94">
        <w:rPr>
          <w:sz w:val="24"/>
          <w:szCs w:val="24"/>
        </w:rPr>
        <w:t>is</w:t>
      </w:r>
      <w:r>
        <w:rPr>
          <w:sz w:val="24"/>
          <w:szCs w:val="24"/>
        </w:rPr>
        <w:t xml:space="preserve"> suspected.</w:t>
      </w:r>
    </w:p>
    <w:p w14:paraId="7C520092" w14:textId="72F9D436" w:rsidR="002B7C39" w:rsidRDefault="002B7C39" w:rsidP="00CE7860">
      <w:pPr>
        <w:pStyle w:val="ListParagraph"/>
        <w:numPr>
          <w:ilvl w:val="2"/>
          <w:numId w:val="1"/>
        </w:numPr>
        <w:ind w:left="1620" w:hanging="180"/>
        <w:jc w:val="both"/>
        <w:rPr>
          <w:sz w:val="24"/>
          <w:szCs w:val="24"/>
        </w:rPr>
      </w:pPr>
      <w:r>
        <w:rPr>
          <w:sz w:val="24"/>
          <w:szCs w:val="24"/>
        </w:rPr>
        <w:lastRenderedPageBreak/>
        <w:t>Notify the Investigation Supervisor if any suspicious activity is suspected.</w:t>
      </w:r>
    </w:p>
    <w:p w14:paraId="2698BDD9" w14:textId="215BCF95" w:rsidR="00A91CF3" w:rsidRDefault="00CA709E" w:rsidP="00CE7860">
      <w:pPr>
        <w:pStyle w:val="ListParagraph"/>
        <w:numPr>
          <w:ilvl w:val="2"/>
          <w:numId w:val="1"/>
        </w:numPr>
        <w:ind w:left="1620" w:hanging="180"/>
        <w:jc w:val="both"/>
        <w:rPr>
          <w:sz w:val="24"/>
          <w:szCs w:val="24"/>
        </w:rPr>
      </w:pPr>
      <w:r w:rsidRPr="00CA709E">
        <w:rPr>
          <w:rFonts w:eastAsia="Times New Roman" w:cstheme="minorHAnsi"/>
          <w:color w:val="000000"/>
          <w:sz w:val="24"/>
          <w:szCs w:val="24"/>
        </w:rPr>
        <w:t xml:space="preserve">Consult with the Investigation Supervisor/on-call Senior Deputy </w:t>
      </w:r>
      <w:r w:rsidR="00600E94">
        <w:rPr>
          <w:rFonts w:eastAsia="Times New Roman" w:cstheme="minorHAnsi"/>
          <w:color w:val="000000"/>
          <w:sz w:val="24"/>
          <w:szCs w:val="24"/>
        </w:rPr>
        <w:t>regarding</w:t>
      </w:r>
      <w:r w:rsidRPr="00CA709E">
        <w:rPr>
          <w:rFonts w:eastAsia="Times New Roman" w:cstheme="minorHAnsi"/>
          <w:color w:val="000000"/>
          <w:sz w:val="24"/>
          <w:szCs w:val="24"/>
        </w:rPr>
        <w:t xml:space="preserve"> any que</w:t>
      </w:r>
      <w:r w:rsidR="00A91CF3">
        <w:rPr>
          <w:sz w:val="24"/>
          <w:szCs w:val="24"/>
        </w:rPr>
        <w:t>stions.</w:t>
      </w:r>
    </w:p>
    <w:p w14:paraId="4B25AE39" w14:textId="1F973474" w:rsidR="00A91CF3" w:rsidRPr="000C4A77" w:rsidRDefault="00A91CF3" w:rsidP="00CE7860">
      <w:pPr>
        <w:pStyle w:val="ListParagraph"/>
        <w:numPr>
          <w:ilvl w:val="2"/>
          <w:numId w:val="1"/>
        </w:numPr>
        <w:ind w:left="1620" w:hanging="180"/>
        <w:jc w:val="both"/>
        <w:rPr>
          <w:sz w:val="24"/>
          <w:szCs w:val="24"/>
          <w:highlight w:val="yellow"/>
        </w:rPr>
      </w:pPr>
      <w:r w:rsidRPr="000C4A77">
        <w:rPr>
          <w:sz w:val="24"/>
          <w:szCs w:val="24"/>
          <w:highlight w:val="yellow"/>
        </w:rPr>
        <w:t>Notify the next of kin as more information becomes available, and upon determination of the cause and manner of death.</w:t>
      </w:r>
    </w:p>
    <w:p w14:paraId="60D87830" w14:textId="5BAFA9B2" w:rsidR="00BB2EC6" w:rsidRDefault="00BB2EC6" w:rsidP="00F74A1D">
      <w:pPr>
        <w:pStyle w:val="ListParagraph"/>
        <w:numPr>
          <w:ilvl w:val="1"/>
          <w:numId w:val="1"/>
        </w:numPr>
        <w:ind w:left="900"/>
        <w:jc w:val="both"/>
        <w:rPr>
          <w:sz w:val="24"/>
          <w:szCs w:val="24"/>
        </w:rPr>
      </w:pPr>
      <w:r>
        <w:rPr>
          <w:sz w:val="24"/>
          <w:szCs w:val="24"/>
        </w:rPr>
        <w:t>Bedding</w:t>
      </w:r>
    </w:p>
    <w:p w14:paraId="7D0E03ED" w14:textId="1F90C029" w:rsidR="008259FF" w:rsidRDefault="008259FF" w:rsidP="00CE7860">
      <w:pPr>
        <w:pStyle w:val="ListParagraph"/>
        <w:numPr>
          <w:ilvl w:val="2"/>
          <w:numId w:val="1"/>
        </w:numPr>
        <w:ind w:left="1620" w:hanging="180"/>
        <w:jc w:val="both"/>
        <w:rPr>
          <w:sz w:val="24"/>
          <w:szCs w:val="24"/>
        </w:rPr>
      </w:pPr>
      <w:r>
        <w:rPr>
          <w:sz w:val="24"/>
          <w:szCs w:val="24"/>
        </w:rPr>
        <w:t>Shall be documented and photographed by the Investigator</w:t>
      </w:r>
      <w:r w:rsidR="00A72285">
        <w:rPr>
          <w:sz w:val="24"/>
          <w:szCs w:val="24"/>
        </w:rPr>
        <w:t xml:space="preserve"> and uploaded into the ACCO case management system</w:t>
      </w:r>
      <w:r>
        <w:rPr>
          <w:sz w:val="24"/>
          <w:szCs w:val="24"/>
        </w:rPr>
        <w:t>.</w:t>
      </w:r>
    </w:p>
    <w:p w14:paraId="0F289CA5" w14:textId="4366CCF9" w:rsidR="00A72285" w:rsidRDefault="00A72285" w:rsidP="00CE7860">
      <w:pPr>
        <w:pStyle w:val="ListParagraph"/>
        <w:numPr>
          <w:ilvl w:val="2"/>
          <w:numId w:val="1"/>
        </w:numPr>
        <w:ind w:left="1620" w:hanging="180"/>
        <w:jc w:val="both"/>
        <w:rPr>
          <w:sz w:val="24"/>
          <w:szCs w:val="24"/>
        </w:rPr>
      </w:pPr>
      <w:r>
        <w:rPr>
          <w:sz w:val="24"/>
          <w:szCs w:val="24"/>
        </w:rPr>
        <w:t xml:space="preserve">Items of evidence </w:t>
      </w:r>
      <w:r w:rsidR="003D1533">
        <w:rPr>
          <w:sz w:val="24"/>
          <w:szCs w:val="24"/>
        </w:rPr>
        <w:t>may</w:t>
      </w:r>
      <w:r>
        <w:rPr>
          <w:sz w:val="24"/>
          <w:szCs w:val="24"/>
        </w:rPr>
        <w:t xml:space="preserve"> be collected by the investigating law enforcement agency.</w:t>
      </w:r>
    </w:p>
    <w:p w14:paraId="61CD2704" w14:textId="6EC78B79" w:rsidR="00A72285" w:rsidRDefault="00A72285" w:rsidP="00A72285">
      <w:pPr>
        <w:pStyle w:val="ListParagraph"/>
        <w:numPr>
          <w:ilvl w:val="3"/>
          <w:numId w:val="1"/>
        </w:numPr>
        <w:ind w:left="2340"/>
        <w:jc w:val="both"/>
        <w:rPr>
          <w:sz w:val="24"/>
          <w:szCs w:val="24"/>
        </w:rPr>
      </w:pPr>
      <w:r>
        <w:rPr>
          <w:sz w:val="24"/>
          <w:szCs w:val="24"/>
        </w:rPr>
        <w:t xml:space="preserve">At the request of the forensic pathologist, the Investigator </w:t>
      </w:r>
      <w:r w:rsidR="00600E94">
        <w:rPr>
          <w:sz w:val="24"/>
          <w:szCs w:val="24"/>
        </w:rPr>
        <w:t>may</w:t>
      </w:r>
      <w:r>
        <w:rPr>
          <w:sz w:val="24"/>
          <w:szCs w:val="24"/>
        </w:rPr>
        <w:t xml:space="preserve"> collect items of evidence for transportation to the ACCO.</w:t>
      </w:r>
    </w:p>
    <w:p w14:paraId="0244A6D8" w14:textId="016CC073" w:rsidR="00A72285" w:rsidRDefault="00A72285" w:rsidP="00A72285">
      <w:pPr>
        <w:pStyle w:val="ListParagraph"/>
        <w:numPr>
          <w:ilvl w:val="3"/>
          <w:numId w:val="1"/>
        </w:numPr>
        <w:ind w:left="2340"/>
        <w:jc w:val="both"/>
        <w:rPr>
          <w:sz w:val="24"/>
          <w:szCs w:val="24"/>
        </w:rPr>
      </w:pPr>
      <w:r>
        <w:rPr>
          <w:sz w:val="24"/>
          <w:szCs w:val="24"/>
        </w:rPr>
        <w:t xml:space="preserve">During the postmortem examination, the forensic pathologist may request </w:t>
      </w:r>
      <w:r w:rsidR="003D1533">
        <w:rPr>
          <w:sz w:val="24"/>
          <w:szCs w:val="24"/>
        </w:rPr>
        <w:t>any</w:t>
      </w:r>
      <w:r w:rsidR="00600E94">
        <w:rPr>
          <w:sz w:val="24"/>
          <w:szCs w:val="24"/>
        </w:rPr>
        <w:t xml:space="preserve"> </w:t>
      </w:r>
      <w:r>
        <w:rPr>
          <w:sz w:val="24"/>
          <w:szCs w:val="24"/>
        </w:rPr>
        <w:t xml:space="preserve">items of evidence collected by the investigating law enforcement agency </w:t>
      </w:r>
      <w:r w:rsidR="003D1533">
        <w:rPr>
          <w:sz w:val="24"/>
          <w:szCs w:val="24"/>
        </w:rPr>
        <w:t xml:space="preserve">to </w:t>
      </w:r>
      <w:r>
        <w:rPr>
          <w:sz w:val="24"/>
          <w:szCs w:val="24"/>
        </w:rPr>
        <w:t>be brought to the ACCO for examination.</w:t>
      </w:r>
    </w:p>
    <w:p w14:paraId="5454AE3C" w14:textId="54940072" w:rsidR="00A72285" w:rsidRDefault="00A72285" w:rsidP="00A72285">
      <w:pPr>
        <w:pStyle w:val="ListParagraph"/>
        <w:numPr>
          <w:ilvl w:val="4"/>
          <w:numId w:val="1"/>
        </w:numPr>
        <w:ind w:left="3060"/>
        <w:jc w:val="both"/>
        <w:rPr>
          <w:sz w:val="24"/>
          <w:szCs w:val="24"/>
        </w:rPr>
      </w:pPr>
      <w:r>
        <w:rPr>
          <w:sz w:val="24"/>
          <w:szCs w:val="24"/>
        </w:rPr>
        <w:t>Evidence shall be returned at the completion of the examination.</w:t>
      </w:r>
    </w:p>
    <w:p w14:paraId="4F71E884" w14:textId="7E4BBD71" w:rsidR="00A72285" w:rsidRDefault="001A6154" w:rsidP="00CE7860">
      <w:pPr>
        <w:pStyle w:val="ListParagraph"/>
        <w:numPr>
          <w:ilvl w:val="2"/>
          <w:numId w:val="1"/>
        </w:numPr>
        <w:ind w:left="1620" w:hanging="180"/>
        <w:jc w:val="both"/>
        <w:rPr>
          <w:sz w:val="24"/>
          <w:szCs w:val="24"/>
        </w:rPr>
      </w:pPr>
      <w:r>
        <w:rPr>
          <w:sz w:val="24"/>
          <w:szCs w:val="24"/>
        </w:rPr>
        <w:t>Personal effects not retained as evidence shall be released with the decedent for final disposition upon completion of the postmortem examination.</w:t>
      </w:r>
    </w:p>
    <w:p w14:paraId="150D2E3D" w14:textId="6A2C4BF4" w:rsidR="00BB2EC6" w:rsidRDefault="00BB2EC6" w:rsidP="00F74A1D">
      <w:pPr>
        <w:pStyle w:val="ListParagraph"/>
        <w:numPr>
          <w:ilvl w:val="1"/>
          <w:numId w:val="1"/>
        </w:numPr>
        <w:ind w:left="900"/>
        <w:jc w:val="both"/>
        <w:rPr>
          <w:sz w:val="24"/>
          <w:szCs w:val="24"/>
        </w:rPr>
      </w:pPr>
      <w:r w:rsidRPr="00BB2EC6">
        <w:rPr>
          <w:sz w:val="24"/>
          <w:szCs w:val="24"/>
        </w:rPr>
        <w:t>Doll Reenactments</w:t>
      </w:r>
    </w:p>
    <w:p w14:paraId="406ACF2B" w14:textId="5A20F09B" w:rsidR="00CA709E" w:rsidRDefault="00CA709E" w:rsidP="00CE7860">
      <w:pPr>
        <w:pStyle w:val="ListParagraph"/>
        <w:numPr>
          <w:ilvl w:val="2"/>
          <w:numId w:val="1"/>
        </w:numPr>
        <w:ind w:left="1620" w:hanging="180"/>
        <w:jc w:val="both"/>
        <w:rPr>
          <w:sz w:val="24"/>
          <w:szCs w:val="24"/>
        </w:rPr>
      </w:pPr>
      <w:r>
        <w:rPr>
          <w:sz w:val="24"/>
          <w:szCs w:val="24"/>
        </w:rPr>
        <w:t>Shall be completed on all infant cases:</w:t>
      </w:r>
    </w:p>
    <w:p w14:paraId="269349E4" w14:textId="3E42A86D" w:rsidR="00893F8F" w:rsidRPr="002B7C39" w:rsidRDefault="004C58FD" w:rsidP="002B7C39">
      <w:pPr>
        <w:pStyle w:val="ListParagraph"/>
        <w:numPr>
          <w:ilvl w:val="3"/>
          <w:numId w:val="1"/>
        </w:numPr>
        <w:ind w:left="2340"/>
        <w:jc w:val="both"/>
        <w:rPr>
          <w:sz w:val="24"/>
          <w:szCs w:val="24"/>
        </w:rPr>
      </w:pPr>
      <w:r>
        <w:rPr>
          <w:sz w:val="24"/>
          <w:szCs w:val="24"/>
        </w:rPr>
        <w:t>When possible</w:t>
      </w:r>
      <w:r w:rsidR="002B7C39">
        <w:rPr>
          <w:sz w:val="24"/>
          <w:szCs w:val="24"/>
        </w:rPr>
        <w:t>, and within</w:t>
      </w:r>
      <w:r w:rsidR="00893F8F" w:rsidRPr="002B7C39">
        <w:rPr>
          <w:sz w:val="24"/>
          <w:szCs w:val="24"/>
        </w:rPr>
        <w:t xml:space="preserve"> twenty-four (24) hours</w:t>
      </w:r>
      <w:r w:rsidR="004161E4">
        <w:rPr>
          <w:sz w:val="24"/>
          <w:szCs w:val="24"/>
        </w:rPr>
        <w:t>.</w:t>
      </w:r>
    </w:p>
    <w:p w14:paraId="6ACE4681" w14:textId="44521535" w:rsidR="00893F8F" w:rsidRDefault="00893F8F" w:rsidP="00CA709E">
      <w:pPr>
        <w:pStyle w:val="ListParagraph"/>
        <w:numPr>
          <w:ilvl w:val="3"/>
          <w:numId w:val="1"/>
        </w:numPr>
        <w:ind w:left="2340"/>
        <w:jc w:val="both"/>
        <w:rPr>
          <w:sz w:val="24"/>
          <w:szCs w:val="24"/>
        </w:rPr>
      </w:pPr>
      <w:r>
        <w:rPr>
          <w:sz w:val="24"/>
          <w:szCs w:val="24"/>
        </w:rPr>
        <w:t>To include the individual(s) present prior to death, demonstrating placement of the decedent prior to being found deceased, using the reenactment doll.</w:t>
      </w:r>
    </w:p>
    <w:p w14:paraId="4F1C14A6" w14:textId="0D71FC7F" w:rsidR="002B7C39" w:rsidRDefault="002B7C39" w:rsidP="00CA709E">
      <w:pPr>
        <w:pStyle w:val="ListParagraph"/>
        <w:numPr>
          <w:ilvl w:val="3"/>
          <w:numId w:val="1"/>
        </w:numPr>
        <w:ind w:left="2340"/>
        <w:jc w:val="both"/>
        <w:rPr>
          <w:sz w:val="24"/>
          <w:szCs w:val="24"/>
        </w:rPr>
      </w:pPr>
      <w:r>
        <w:rPr>
          <w:sz w:val="24"/>
          <w:szCs w:val="24"/>
        </w:rPr>
        <w:t>To include</w:t>
      </w:r>
      <w:r w:rsidR="004161E4">
        <w:rPr>
          <w:sz w:val="24"/>
          <w:szCs w:val="24"/>
        </w:rPr>
        <w:t xml:space="preserve"> a “last seen alive” placement, using the reenactment doll, if one differs from Section 2.c.i.2 of this Policy.</w:t>
      </w:r>
    </w:p>
    <w:p w14:paraId="725B9B76" w14:textId="0F1A8258" w:rsidR="00893F8F" w:rsidRDefault="00893F8F" w:rsidP="00CA709E">
      <w:pPr>
        <w:pStyle w:val="ListParagraph"/>
        <w:numPr>
          <w:ilvl w:val="3"/>
          <w:numId w:val="1"/>
        </w:numPr>
        <w:ind w:left="2340"/>
        <w:jc w:val="both"/>
        <w:rPr>
          <w:sz w:val="24"/>
          <w:szCs w:val="24"/>
        </w:rPr>
      </w:pPr>
      <w:r>
        <w:rPr>
          <w:sz w:val="24"/>
          <w:szCs w:val="24"/>
        </w:rPr>
        <w:t xml:space="preserve">To include the individual(s) present when </w:t>
      </w:r>
      <w:r w:rsidR="00600E94">
        <w:rPr>
          <w:sz w:val="24"/>
          <w:szCs w:val="24"/>
        </w:rPr>
        <w:t>the infant</w:t>
      </w:r>
      <w:r>
        <w:rPr>
          <w:sz w:val="24"/>
          <w:szCs w:val="24"/>
        </w:rPr>
        <w:t xml:space="preserve"> was found deceased, demonstrating how the infant was found, using the reenactment doll.</w:t>
      </w:r>
    </w:p>
    <w:p w14:paraId="07071342" w14:textId="17EE8967" w:rsidR="00ED51CE" w:rsidRDefault="00ED51CE" w:rsidP="00CA709E">
      <w:pPr>
        <w:pStyle w:val="ListParagraph"/>
        <w:numPr>
          <w:ilvl w:val="3"/>
          <w:numId w:val="1"/>
        </w:numPr>
        <w:ind w:left="2340"/>
        <w:jc w:val="both"/>
        <w:rPr>
          <w:sz w:val="24"/>
          <w:szCs w:val="24"/>
        </w:rPr>
      </w:pPr>
      <w:r>
        <w:rPr>
          <w:sz w:val="24"/>
          <w:szCs w:val="24"/>
        </w:rPr>
        <w:t>In collaboration with the investigating law enforcement agency.</w:t>
      </w:r>
    </w:p>
    <w:p w14:paraId="786B8960" w14:textId="2BD67C53" w:rsidR="00CA709E" w:rsidRDefault="00CA709E" w:rsidP="00CE7860">
      <w:pPr>
        <w:pStyle w:val="ListParagraph"/>
        <w:numPr>
          <w:ilvl w:val="2"/>
          <w:numId w:val="1"/>
        </w:numPr>
        <w:ind w:left="1620" w:hanging="180"/>
        <w:jc w:val="both"/>
        <w:rPr>
          <w:sz w:val="24"/>
          <w:szCs w:val="24"/>
        </w:rPr>
      </w:pPr>
      <w:r>
        <w:rPr>
          <w:sz w:val="24"/>
          <w:szCs w:val="24"/>
        </w:rPr>
        <w:t>Shall be photographed and/or videotaped by the Investigator</w:t>
      </w:r>
      <w:r w:rsidR="00A72285">
        <w:rPr>
          <w:sz w:val="24"/>
          <w:szCs w:val="24"/>
        </w:rPr>
        <w:t xml:space="preserve"> and uploaded into the ACCO case management system</w:t>
      </w:r>
      <w:r>
        <w:rPr>
          <w:sz w:val="24"/>
          <w:szCs w:val="24"/>
        </w:rPr>
        <w:t>.</w:t>
      </w:r>
    </w:p>
    <w:p w14:paraId="5C272A88" w14:textId="581A3FD0" w:rsidR="00893F8F" w:rsidRDefault="00893F8F" w:rsidP="00CE7860">
      <w:pPr>
        <w:pStyle w:val="ListParagraph"/>
        <w:numPr>
          <w:ilvl w:val="2"/>
          <w:numId w:val="1"/>
        </w:numPr>
        <w:ind w:left="1620" w:hanging="180"/>
        <w:jc w:val="both"/>
        <w:rPr>
          <w:sz w:val="24"/>
          <w:szCs w:val="24"/>
        </w:rPr>
      </w:pPr>
      <w:r>
        <w:rPr>
          <w:sz w:val="24"/>
          <w:szCs w:val="24"/>
        </w:rPr>
        <w:t>For deaths occurring in a hospital, the Investigator shall investigate the last known alive location, utilizing a reenactment doll with the individual(s) present at the time of death.</w:t>
      </w:r>
    </w:p>
    <w:p w14:paraId="020EF405" w14:textId="73C7E9EA" w:rsidR="00A91CF3" w:rsidRPr="00BB2EC6" w:rsidRDefault="00A91CF3" w:rsidP="00A91CF3">
      <w:pPr>
        <w:pStyle w:val="ListParagraph"/>
        <w:numPr>
          <w:ilvl w:val="1"/>
          <w:numId w:val="1"/>
        </w:numPr>
        <w:ind w:left="900"/>
        <w:jc w:val="both"/>
        <w:rPr>
          <w:sz w:val="24"/>
          <w:szCs w:val="24"/>
        </w:rPr>
      </w:pPr>
      <w:r>
        <w:rPr>
          <w:sz w:val="24"/>
          <w:szCs w:val="24"/>
        </w:rPr>
        <w:t>Memorial keepsakes will be considered on a case-by-case basis.</w:t>
      </w:r>
    </w:p>
    <w:p w14:paraId="2F628165" w14:textId="074257E7" w:rsidR="00BB2EC6" w:rsidRDefault="00BB2EC6" w:rsidP="00F74A1D">
      <w:pPr>
        <w:pStyle w:val="ListParagraph"/>
        <w:numPr>
          <w:ilvl w:val="0"/>
          <w:numId w:val="1"/>
        </w:numPr>
        <w:ind w:left="180"/>
        <w:jc w:val="both"/>
        <w:rPr>
          <w:b/>
          <w:bCs/>
          <w:sz w:val="24"/>
          <w:szCs w:val="24"/>
        </w:rPr>
      </w:pPr>
      <w:r w:rsidRPr="00BB2EC6">
        <w:rPr>
          <w:b/>
          <w:bCs/>
          <w:sz w:val="24"/>
          <w:szCs w:val="24"/>
        </w:rPr>
        <w:t>Child</w:t>
      </w:r>
    </w:p>
    <w:p w14:paraId="1732F0BE" w14:textId="121FD930" w:rsidR="008259FF" w:rsidRDefault="008259FF" w:rsidP="008259FF">
      <w:pPr>
        <w:pStyle w:val="ListParagraph"/>
        <w:numPr>
          <w:ilvl w:val="1"/>
          <w:numId w:val="1"/>
        </w:numPr>
        <w:ind w:left="900"/>
        <w:jc w:val="both"/>
        <w:rPr>
          <w:sz w:val="24"/>
          <w:szCs w:val="24"/>
        </w:rPr>
      </w:pPr>
      <w:r w:rsidRPr="008259FF">
        <w:rPr>
          <w:sz w:val="24"/>
          <w:szCs w:val="24"/>
        </w:rPr>
        <w:t xml:space="preserve">The Investigator, upon </w:t>
      </w:r>
      <w:r>
        <w:rPr>
          <w:sz w:val="24"/>
          <w:szCs w:val="24"/>
        </w:rPr>
        <w:t xml:space="preserve">initial </w:t>
      </w:r>
      <w:r w:rsidRPr="008259FF">
        <w:rPr>
          <w:sz w:val="24"/>
          <w:szCs w:val="24"/>
        </w:rPr>
        <w:t xml:space="preserve">notification, </w:t>
      </w:r>
      <w:r>
        <w:rPr>
          <w:sz w:val="24"/>
          <w:szCs w:val="24"/>
        </w:rPr>
        <w:t>shall notify the Investigation Supervisor/on-call Senior Deputy.</w:t>
      </w:r>
    </w:p>
    <w:p w14:paraId="6ADBAF7F" w14:textId="52C8311C" w:rsidR="008259FF" w:rsidRDefault="008259FF" w:rsidP="00CE7860">
      <w:pPr>
        <w:pStyle w:val="ListParagraph"/>
        <w:numPr>
          <w:ilvl w:val="2"/>
          <w:numId w:val="1"/>
        </w:numPr>
        <w:ind w:left="1620" w:hanging="180"/>
        <w:jc w:val="both"/>
        <w:rPr>
          <w:sz w:val="24"/>
          <w:szCs w:val="24"/>
        </w:rPr>
      </w:pPr>
      <w:r>
        <w:rPr>
          <w:sz w:val="24"/>
          <w:szCs w:val="24"/>
        </w:rPr>
        <w:t xml:space="preserve">The Investigation Supervisor/on-call Senior Deputy </w:t>
      </w:r>
      <w:r w:rsidR="00600E94">
        <w:rPr>
          <w:sz w:val="24"/>
          <w:szCs w:val="24"/>
        </w:rPr>
        <w:t>shall</w:t>
      </w:r>
      <w:r>
        <w:rPr>
          <w:sz w:val="24"/>
          <w:szCs w:val="24"/>
        </w:rPr>
        <w:t xml:space="preserve"> determine if Coroner/Chief Deputy notification is necessary, depending </w:t>
      </w:r>
      <w:r w:rsidR="004C58FD">
        <w:rPr>
          <w:sz w:val="24"/>
          <w:szCs w:val="24"/>
        </w:rPr>
        <w:t>up</w:t>
      </w:r>
      <w:r>
        <w:rPr>
          <w:sz w:val="24"/>
          <w:szCs w:val="24"/>
        </w:rPr>
        <w:t xml:space="preserve">on </w:t>
      </w:r>
      <w:r w:rsidR="004C58FD">
        <w:rPr>
          <w:sz w:val="24"/>
          <w:szCs w:val="24"/>
        </w:rPr>
        <w:t>case</w:t>
      </w:r>
      <w:r>
        <w:rPr>
          <w:sz w:val="24"/>
          <w:szCs w:val="24"/>
        </w:rPr>
        <w:t xml:space="preserve"> circumstances</w:t>
      </w:r>
      <w:r w:rsidR="004C58FD">
        <w:rPr>
          <w:sz w:val="24"/>
          <w:szCs w:val="24"/>
        </w:rPr>
        <w:t>.</w:t>
      </w:r>
    </w:p>
    <w:p w14:paraId="04FB115F" w14:textId="6473A09F" w:rsidR="008259FF" w:rsidRDefault="008259FF" w:rsidP="008259FF">
      <w:pPr>
        <w:pStyle w:val="ListParagraph"/>
        <w:numPr>
          <w:ilvl w:val="1"/>
          <w:numId w:val="1"/>
        </w:numPr>
        <w:ind w:left="900"/>
        <w:jc w:val="both"/>
        <w:rPr>
          <w:sz w:val="24"/>
          <w:szCs w:val="24"/>
        </w:rPr>
      </w:pPr>
      <w:r>
        <w:rPr>
          <w:sz w:val="24"/>
          <w:szCs w:val="24"/>
        </w:rPr>
        <w:lastRenderedPageBreak/>
        <w:t xml:space="preserve">All potential cases of non-jurisdictional release </w:t>
      </w:r>
      <w:r w:rsidR="00600E94">
        <w:rPr>
          <w:sz w:val="24"/>
          <w:szCs w:val="24"/>
        </w:rPr>
        <w:t>will</w:t>
      </w:r>
      <w:r>
        <w:rPr>
          <w:sz w:val="24"/>
          <w:szCs w:val="24"/>
        </w:rPr>
        <w:t xml:space="preserve"> be reviewed and approved by the Coroner, Chief Deputy, forensic pathologist, </w:t>
      </w:r>
      <w:r w:rsidR="004161E4">
        <w:rPr>
          <w:sz w:val="24"/>
          <w:szCs w:val="24"/>
        </w:rPr>
        <w:t xml:space="preserve">Investigation Supervisor, </w:t>
      </w:r>
      <w:r>
        <w:rPr>
          <w:sz w:val="24"/>
          <w:szCs w:val="24"/>
        </w:rPr>
        <w:t>or on-call Senior Deputy.</w:t>
      </w:r>
    </w:p>
    <w:p w14:paraId="6FE854B3" w14:textId="14FC9B00" w:rsidR="008259FF" w:rsidRDefault="008259FF" w:rsidP="008259FF">
      <w:pPr>
        <w:pStyle w:val="ListParagraph"/>
        <w:numPr>
          <w:ilvl w:val="1"/>
          <w:numId w:val="1"/>
        </w:numPr>
        <w:ind w:left="900"/>
        <w:jc w:val="both"/>
        <w:rPr>
          <w:sz w:val="24"/>
          <w:szCs w:val="24"/>
        </w:rPr>
      </w:pPr>
      <w:r>
        <w:rPr>
          <w:sz w:val="24"/>
          <w:szCs w:val="24"/>
        </w:rPr>
        <w:t xml:space="preserve">For deaths deemed suspicious, or without medical significance, all appropriate agencies </w:t>
      </w:r>
      <w:r w:rsidR="004C58FD">
        <w:rPr>
          <w:sz w:val="24"/>
          <w:szCs w:val="24"/>
        </w:rPr>
        <w:t>shall</w:t>
      </w:r>
      <w:r>
        <w:rPr>
          <w:sz w:val="24"/>
          <w:szCs w:val="24"/>
        </w:rPr>
        <w:t xml:space="preserve"> be notified.</w:t>
      </w:r>
    </w:p>
    <w:p w14:paraId="70044920" w14:textId="7BF441CF" w:rsidR="004C58FD" w:rsidRDefault="004C58FD" w:rsidP="004C58FD">
      <w:pPr>
        <w:pStyle w:val="ListParagraph"/>
        <w:numPr>
          <w:ilvl w:val="1"/>
          <w:numId w:val="1"/>
        </w:numPr>
        <w:ind w:left="900"/>
        <w:jc w:val="both"/>
        <w:rPr>
          <w:sz w:val="24"/>
          <w:szCs w:val="24"/>
        </w:rPr>
      </w:pPr>
      <w:r>
        <w:rPr>
          <w:sz w:val="24"/>
          <w:szCs w:val="24"/>
        </w:rPr>
        <w:t xml:space="preserve">The Investigator shall allow the family to hold and/or touch the child </w:t>
      </w:r>
      <w:r w:rsidR="00600E94">
        <w:rPr>
          <w:sz w:val="24"/>
          <w:szCs w:val="24"/>
        </w:rPr>
        <w:t>pending</w:t>
      </w:r>
      <w:r>
        <w:rPr>
          <w:sz w:val="24"/>
          <w:szCs w:val="24"/>
        </w:rPr>
        <w:t xml:space="preserve"> no suspicious activit</w:t>
      </w:r>
      <w:r w:rsidR="00600E94">
        <w:rPr>
          <w:sz w:val="24"/>
          <w:szCs w:val="24"/>
        </w:rPr>
        <w:t>y</w:t>
      </w:r>
      <w:r>
        <w:rPr>
          <w:sz w:val="24"/>
          <w:szCs w:val="24"/>
        </w:rPr>
        <w:t xml:space="preserve"> </w:t>
      </w:r>
      <w:r w:rsidR="00600E94">
        <w:rPr>
          <w:sz w:val="24"/>
          <w:szCs w:val="24"/>
        </w:rPr>
        <w:t>is</w:t>
      </w:r>
      <w:r>
        <w:rPr>
          <w:sz w:val="24"/>
          <w:szCs w:val="24"/>
        </w:rPr>
        <w:t xml:space="preserve"> suspected.</w:t>
      </w:r>
    </w:p>
    <w:p w14:paraId="39D308C5" w14:textId="1DB18F6F" w:rsidR="004C58FD" w:rsidRPr="004C58FD" w:rsidRDefault="00457732" w:rsidP="00CE7860">
      <w:pPr>
        <w:pStyle w:val="ListParagraph"/>
        <w:numPr>
          <w:ilvl w:val="2"/>
          <w:numId w:val="1"/>
        </w:numPr>
        <w:ind w:left="1620" w:hanging="180"/>
        <w:jc w:val="both"/>
        <w:rPr>
          <w:sz w:val="24"/>
          <w:szCs w:val="24"/>
        </w:rPr>
      </w:pPr>
      <w:r>
        <w:rPr>
          <w:sz w:val="24"/>
          <w:szCs w:val="24"/>
        </w:rPr>
        <w:t>Q</w:t>
      </w:r>
      <w:r w:rsidR="004C58FD">
        <w:rPr>
          <w:sz w:val="24"/>
          <w:szCs w:val="24"/>
        </w:rPr>
        <w:t xml:space="preserve">uestions </w:t>
      </w:r>
      <w:r>
        <w:rPr>
          <w:sz w:val="24"/>
          <w:szCs w:val="24"/>
        </w:rPr>
        <w:t>will</w:t>
      </w:r>
      <w:r w:rsidR="004C58FD">
        <w:rPr>
          <w:sz w:val="24"/>
          <w:szCs w:val="24"/>
        </w:rPr>
        <w:t xml:space="preserve"> be directed to the Investigation Supervisor/on-call Senior Deputy.</w:t>
      </w:r>
    </w:p>
    <w:p w14:paraId="11288D9F" w14:textId="4E4BBBA4" w:rsidR="008259FF" w:rsidRDefault="00737EE9" w:rsidP="008259FF">
      <w:pPr>
        <w:pStyle w:val="ListParagraph"/>
        <w:numPr>
          <w:ilvl w:val="1"/>
          <w:numId w:val="1"/>
        </w:numPr>
        <w:ind w:left="900"/>
        <w:jc w:val="both"/>
        <w:rPr>
          <w:sz w:val="24"/>
          <w:szCs w:val="24"/>
        </w:rPr>
      </w:pPr>
      <w:r>
        <w:rPr>
          <w:sz w:val="24"/>
          <w:szCs w:val="24"/>
        </w:rPr>
        <w:t>Investigation Division staff shall contact the appropriate agencies for case completion.</w:t>
      </w:r>
    </w:p>
    <w:p w14:paraId="4A6A73CB" w14:textId="6349EE52" w:rsidR="00ED51CE" w:rsidRPr="00ED51CE" w:rsidRDefault="00ED51CE" w:rsidP="00ED51CE">
      <w:pPr>
        <w:pStyle w:val="ListParagraph"/>
        <w:numPr>
          <w:ilvl w:val="0"/>
          <w:numId w:val="1"/>
        </w:numPr>
        <w:ind w:left="180"/>
        <w:jc w:val="both"/>
        <w:rPr>
          <w:b/>
          <w:bCs/>
          <w:sz w:val="24"/>
          <w:szCs w:val="24"/>
        </w:rPr>
      </w:pPr>
      <w:r w:rsidRPr="00ED51CE">
        <w:rPr>
          <w:b/>
          <w:bCs/>
          <w:sz w:val="24"/>
          <w:szCs w:val="24"/>
        </w:rPr>
        <w:t>Hospital Deaths</w:t>
      </w:r>
    </w:p>
    <w:p w14:paraId="7623BB42" w14:textId="77777777" w:rsidR="00ED51CE" w:rsidRDefault="00ED51CE" w:rsidP="00ED51CE">
      <w:pPr>
        <w:pStyle w:val="ListParagraph"/>
        <w:numPr>
          <w:ilvl w:val="1"/>
          <w:numId w:val="1"/>
        </w:numPr>
        <w:ind w:left="900"/>
        <w:jc w:val="both"/>
        <w:rPr>
          <w:sz w:val="24"/>
          <w:szCs w:val="24"/>
        </w:rPr>
      </w:pPr>
      <w:r>
        <w:rPr>
          <w:sz w:val="24"/>
          <w:szCs w:val="24"/>
        </w:rPr>
        <w:t>The Investigator shall:</w:t>
      </w:r>
    </w:p>
    <w:p w14:paraId="3B54C673" w14:textId="77777777" w:rsidR="00325629" w:rsidRDefault="00ED51CE" w:rsidP="00CE7860">
      <w:pPr>
        <w:pStyle w:val="ListParagraph"/>
        <w:numPr>
          <w:ilvl w:val="2"/>
          <w:numId w:val="1"/>
        </w:numPr>
        <w:ind w:left="1620" w:hanging="180"/>
        <w:jc w:val="both"/>
        <w:rPr>
          <w:sz w:val="24"/>
          <w:szCs w:val="24"/>
        </w:rPr>
      </w:pPr>
      <w:r>
        <w:rPr>
          <w:sz w:val="24"/>
          <w:szCs w:val="24"/>
        </w:rPr>
        <w:t>Respond to the hospital</w:t>
      </w:r>
      <w:r w:rsidR="00920C55">
        <w:rPr>
          <w:sz w:val="24"/>
          <w:szCs w:val="24"/>
        </w:rPr>
        <w:t>,</w:t>
      </w:r>
      <w:r>
        <w:rPr>
          <w:sz w:val="24"/>
          <w:szCs w:val="24"/>
        </w:rPr>
        <w:t xml:space="preserve"> </w:t>
      </w:r>
      <w:r w:rsidR="00946A02">
        <w:rPr>
          <w:sz w:val="24"/>
          <w:szCs w:val="24"/>
        </w:rPr>
        <w:t>when</w:t>
      </w:r>
      <w:r>
        <w:rPr>
          <w:sz w:val="24"/>
          <w:szCs w:val="24"/>
        </w:rPr>
        <w:t xml:space="preserve"> the body was removed from the scene</w:t>
      </w:r>
      <w:r w:rsidR="00946A02">
        <w:rPr>
          <w:sz w:val="24"/>
          <w:szCs w:val="24"/>
        </w:rPr>
        <w:t xml:space="preserve"> and taken to the hospital</w:t>
      </w:r>
      <w:r>
        <w:rPr>
          <w:sz w:val="24"/>
          <w:szCs w:val="24"/>
        </w:rPr>
        <w:t xml:space="preserve">. </w:t>
      </w:r>
    </w:p>
    <w:p w14:paraId="7CA17BEB" w14:textId="791F3FE8" w:rsidR="00325629" w:rsidRPr="00325629" w:rsidRDefault="00325629" w:rsidP="00325629">
      <w:pPr>
        <w:pStyle w:val="ListParagraph"/>
        <w:numPr>
          <w:ilvl w:val="3"/>
          <w:numId w:val="1"/>
        </w:numPr>
        <w:ind w:left="2340"/>
        <w:jc w:val="both"/>
        <w:rPr>
          <w:sz w:val="24"/>
          <w:szCs w:val="24"/>
        </w:rPr>
      </w:pPr>
      <w:r w:rsidRPr="00325629">
        <w:rPr>
          <w:sz w:val="24"/>
          <w:szCs w:val="24"/>
        </w:rPr>
        <w:t>Complete a full investigation in accordance with ACCO standard operating procedure.</w:t>
      </w:r>
    </w:p>
    <w:p w14:paraId="0DE99445" w14:textId="77777777" w:rsidR="00325629" w:rsidRDefault="00920C55" w:rsidP="00CE7860">
      <w:pPr>
        <w:pStyle w:val="ListParagraph"/>
        <w:numPr>
          <w:ilvl w:val="2"/>
          <w:numId w:val="1"/>
        </w:numPr>
        <w:ind w:left="1620" w:hanging="180"/>
        <w:jc w:val="both"/>
        <w:rPr>
          <w:sz w:val="24"/>
          <w:szCs w:val="24"/>
        </w:rPr>
      </w:pPr>
      <w:r>
        <w:rPr>
          <w:sz w:val="24"/>
          <w:szCs w:val="24"/>
        </w:rPr>
        <w:t>I</w:t>
      </w:r>
      <w:r w:rsidR="00946A02">
        <w:rPr>
          <w:sz w:val="24"/>
          <w:szCs w:val="24"/>
        </w:rPr>
        <w:t xml:space="preserve">nvestigate </w:t>
      </w:r>
      <w:r w:rsidR="00ED51CE" w:rsidRPr="00ED51CE">
        <w:rPr>
          <w:sz w:val="24"/>
          <w:szCs w:val="24"/>
        </w:rPr>
        <w:t>the</w:t>
      </w:r>
      <w:r w:rsidR="00325629">
        <w:rPr>
          <w:sz w:val="24"/>
          <w:szCs w:val="24"/>
        </w:rPr>
        <w:t xml:space="preserve"> scene of death, i.e., where the body was found prior to being taken to the hospital. </w:t>
      </w:r>
    </w:p>
    <w:p w14:paraId="40FA5E5A" w14:textId="0C114751" w:rsidR="00ED51CE" w:rsidRPr="00ED51CE" w:rsidRDefault="00920C55" w:rsidP="00325629">
      <w:pPr>
        <w:pStyle w:val="ListParagraph"/>
        <w:numPr>
          <w:ilvl w:val="3"/>
          <w:numId w:val="1"/>
        </w:numPr>
        <w:ind w:left="2340"/>
        <w:jc w:val="both"/>
        <w:rPr>
          <w:sz w:val="24"/>
          <w:szCs w:val="24"/>
        </w:rPr>
      </w:pPr>
      <w:r>
        <w:rPr>
          <w:sz w:val="24"/>
          <w:szCs w:val="24"/>
        </w:rPr>
        <w:t>With exception given to a prolonged delay in death</w:t>
      </w:r>
      <w:r w:rsidR="00325629">
        <w:rPr>
          <w:sz w:val="24"/>
          <w:szCs w:val="24"/>
        </w:rPr>
        <w:t xml:space="preserve"> at the hospital</w:t>
      </w:r>
      <w:r>
        <w:rPr>
          <w:sz w:val="24"/>
          <w:szCs w:val="24"/>
        </w:rPr>
        <w:t xml:space="preserve">, </w:t>
      </w:r>
      <w:r w:rsidR="00ED51CE" w:rsidRPr="00ED51CE">
        <w:rPr>
          <w:sz w:val="24"/>
          <w:szCs w:val="24"/>
        </w:rPr>
        <w:t>and the Investigator</w:t>
      </w:r>
      <w:r>
        <w:rPr>
          <w:sz w:val="24"/>
          <w:szCs w:val="24"/>
        </w:rPr>
        <w:t xml:space="preserve">, </w:t>
      </w:r>
      <w:r w:rsidR="00ED51CE" w:rsidRPr="00ED51CE">
        <w:rPr>
          <w:sz w:val="24"/>
          <w:szCs w:val="24"/>
        </w:rPr>
        <w:t>on-call forensic pathologist</w:t>
      </w:r>
      <w:r>
        <w:rPr>
          <w:sz w:val="24"/>
          <w:szCs w:val="24"/>
        </w:rPr>
        <w:t xml:space="preserve">, </w:t>
      </w:r>
      <w:r w:rsidR="00ED51CE" w:rsidRPr="00ED51CE">
        <w:rPr>
          <w:sz w:val="24"/>
          <w:szCs w:val="24"/>
        </w:rPr>
        <w:t xml:space="preserve">and investigating law enforcement agency </w:t>
      </w:r>
      <w:r>
        <w:rPr>
          <w:sz w:val="24"/>
          <w:szCs w:val="24"/>
        </w:rPr>
        <w:t>in agreement</w:t>
      </w:r>
      <w:r w:rsidR="00ED51CE" w:rsidRPr="00ED51CE">
        <w:rPr>
          <w:sz w:val="24"/>
          <w:szCs w:val="24"/>
        </w:rPr>
        <w:t xml:space="preserve"> that a scene investigation would not provide </w:t>
      </w:r>
      <w:r>
        <w:rPr>
          <w:sz w:val="24"/>
          <w:szCs w:val="24"/>
        </w:rPr>
        <w:t>valuable</w:t>
      </w:r>
      <w:r w:rsidR="00ED51CE" w:rsidRPr="00ED51CE">
        <w:rPr>
          <w:sz w:val="24"/>
          <w:szCs w:val="24"/>
        </w:rPr>
        <w:t xml:space="preserve"> forensic information.</w:t>
      </w:r>
    </w:p>
    <w:p w14:paraId="5D18B4A8" w14:textId="77777777" w:rsidR="00ED51CE" w:rsidRPr="00946A02" w:rsidRDefault="00ED51CE" w:rsidP="00946A02">
      <w:pPr>
        <w:jc w:val="both"/>
        <w:rPr>
          <w:sz w:val="24"/>
          <w:szCs w:val="24"/>
        </w:rPr>
      </w:pPr>
    </w:p>
    <w:sectPr w:rsidR="00ED51CE" w:rsidRPr="00946A02" w:rsidSect="004322C5">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CFC15" w14:textId="77777777" w:rsidR="00682046" w:rsidRDefault="00682046" w:rsidP="004322C5">
      <w:pPr>
        <w:spacing w:after="0" w:line="240" w:lineRule="auto"/>
      </w:pPr>
      <w:r>
        <w:separator/>
      </w:r>
    </w:p>
  </w:endnote>
  <w:endnote w:type="continuationSeparator" w:id="0">
    <w:p w14:paraId="29830092" w14:textId="77777777" w:rsidR="00682046" w:rsidRDefault="00682046" w:rsidP="004322C5">
      <w:pPr>
        <w:spacing w:after="0" w:line="240" w:lineRule="auto"/>
      </w:pPr>
      <w:r>
        <w:continuationSeparator/>
      </w:r>
    </w:p>
  </w:endnote>
  <w:endnote w:type="continuationNotice" w:id="1">
    <w:p w14:paraId="3DD9BAD0" w14:textId="77777777" w:rsidR="00D03347" w:rsidRDefault="00D033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468C" w14:textId="23EE102A" w:rsidR="004322C5" w:rsidRPr="004322C5" w:rsidRDefault="0067070D" w:rsidP="004322C5">
    <w:pPr>
      <w:pStyle w:val="Footer"/>
      <w:jc w:val="right"/>
      <w:rPr>
        <w:sz w:val="16"/>
        <w:szCs w:val="16"/>
      </w:rPr>
    </w:pPr>
    <w:r>
      <w:rPr>
        <w:sz w:val="16"/>
        <w:szCs w:val="16"/>
      </w:rPr>
      <w:fldChar w:fldCharType="begin"/>
    </w:r>
    <w:r>
      <w:rPr>
        <w:sz w:val="16"/>
        <w:szCs w:val="16"/>
      </w:rPr>
      <w:instrText xml:space="preserve"> FILENAME  \* FirstCap  \* MERGEFORMAT </w:instrText>
    </w:r>
    <w:r>
      <w:rPr>
        <w:sz w:val="16"/>
        <w:szCs w:val="16"/>
      </w:rPr>
      <w:fldChar w:fldCharType="separate"/>
    </w:r>
    <w:r>
      <w:rPr>
        <w:noProof/>
        <w:sz w:val="16"/>
        <w:szCs w:val="16"/>
      </w:rPr>
      <w:t>Child Death Investigations</w:t>
    </w:r>
    <w:r>
      <w:rPr>
        <w:sz w:val="16"/>
        <w:szCs w:val="16"/>
      </w:rPr>
      <w:fldChar w:fldCharType="end"/>
    </w:r>
    <w:r>
      <w:rPr>
        <w:sz w:val="16"/>
        <w:szCs w:val="16"/>
      </w:rPr>
      <w:t xml:space="preserve"> </w:t>
    </w:r>
    <w:r w:rsidR="004322C5" w:rsidRPr="004322C5">
      <w:rPr>
        <w:sz w:val="16"/>
        <w:szCs w:val="16"/>
      </w:rPr>
      <w:t xml:space="preserve">Page </w:t>
    </w:r>
    <w:r w:rsidR="004322C5" w:rsidRPr="004322C5">
      <w:rPr>
        <w:sz w:val="16"/>
        <w:szCs w:val="16"/>
      </w:rPr>
      <w:fldChar w:fldCharType="begin"/>
    </w:r>
    <w:r w:rsidR="004322C5" w:rsidRPr="004322C5">
      <w:rPr>
        <w:sz w:val="16"/>
        <w:szCs w:val="16"/>
      </w:rPr>
      <w:instrText xml:space="preserve"> PAGE  \* Arabic  \* MERGEFORMAT </w:instrText>
    </w:r>
    <w:r w:rsidR="004322C5" w:rsidRPr="004322C5">
      <w:rPr>
        <w:sz w:val="16"/>
        <w:szCs w:val="16"/>
      </w:rPr>
      <w:fldChar w:fldCharType="separate"/>
    </w:r>
    <w:r w:rsidR="004322C5" w:rsidRPr="004322C5">
      <w:rPr>
        <w:noProof/>
        <w:sz w:val="16"/>
        <w:szCs w:val="16"/>
      </w:rPr>
      <w:t>1</w:t>
    </w:r>
    <w:r w:rsidR="004322C5" w:rsidRPr="004322C5">
      <w:rPr>
        <w:sz w:val="16"/>
        <w:szCs w:val="16"/>
      </w:rPr>
      <w:fldChar w:fldCharType="end"/>
    </w:r>
    <w:r w:rsidR="004322C5" w:rsidRPr="004322C5">
      <w:rPr>
        <w:sz w:val="16"/>
        <w:szCs w:val="16"/>
      </w:rPr>
      <w:t xml:space="preserve"> of </w:t>
    </w:r>
    <w:r w:rsidR="004322C5" w:rsidRPr="004322C5">
      <w:rPr>
        <w:sz w:val="16"/>
        <w:szCs w:val="16"/>
      </w:rPr>
      <w:fldChar w:fldCharType="begin"/>
    </w:r>
    <w:r w:rsidR="004322C5" w:rsidRPr="004322C5">
      <w:rPr>
        <w:sz w:val="16"/>
        <w:szCs w:val="16"/>
      </w:rPr>
      <w:instrText xml:space="preserve"> NUMPAGES  \* Arabic  \* MERGEFORMAT </w:instrText>
    </w:r>
    <w:r w:rsidR="004322C5" w:rsidRPr="004322C5">
      <w:rPr>
        <w:sz w:val="16"/>
        <w:szCs w:val="16"/>
      </w:rPr>
      <w:fldChar w:fldCharType="separate"/>
    </w:r>
    <w:r w:rsidR="004322C5" w:rsidRPr="004322C5">
      <w:rPr>
        <w:noProof/>
        <w:sz w:val="16"/>
        <w:szCs w:val="16"/>
      </w:rPr>
      <w:t>2</w:t>
    </w:r>
    <w:r w:rsidR="004322C5" w:rsidRPr="004322C5">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B3F50" w14:textId="77777777" w:rsidR="00682046" w:rsidRDefault="00682046" w:rsidP="004322C5">
      <w:pPr>
        <w:spacing w:after="0" w:line="240" w:lineRule="auto"/>
      </w:pPr>
      <w:r>
        <w:separator/>
      </w:r>
    </w:p>
  </w:footnote>
  <w:footnote w:type="continuationSeparator" w:id="0">
    <w:p w14:paraId="78E26031" w14:textId="77777777" w:rsidR="00682046" w:rsidRDefault="00682046" w:rsidP="004322C5">
      <w:pPr>
        <w:spacing w:after="0" w:line="240" w:lineRule="auto"/>
      </w:pPr>
      <w:r>
        <w:continuationSeparator/>
      </w:r>
    </w:p>
  </w:footnote>
  <w:footnote w:type="continuationNotice" w:id="1">
    <w:p w14:paraId="3DABE1E8" w14:textId="77777777" w:rsidR="00D03347" w:rsidRDefault="00D0334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35617"/>
    <w:multiLevelType w:val="hybridMultilevel"/>
    <w:tmpl w:val="8FCCEE20"/>
    <w:lvl w:ilvl="0" w:tplc="0409000F">
      <w:start w:val="1"/>
      <w:numFmt w:val="decimal"/>
      <w:lvlText w:val="%1."/>
      <w:lvlJc w:val="left"/>
      <w:pPr>
        <w:ind w:left="180" w:hanging="360"/>
      </w:pPr>
    </w:lvl>
    <w:lvl w:ilvl="1" w:tplc="04090019">
      <w:start w:val="1"/>
      <w:numFmt w:val="lowerLetter"/>
      <w:lvlText w:val="%2."/>
      <w:lvlJc w:val="left"/>
      <w:pPr>
        <w:ind w:left="900" w:hanging="360"/>
      </w:pPr>
    </w:lvl>
    <w:lvl w:ilvl="2" w:tplc="0409001B">
      <w:start w:val="1"/>
      <w:numFmt w:val="lowerRoman"/>
      <w:lvlText w:val="%3."/>
      <w:lvlJc w:val="right"/>
      <w:pPr>
        <w:ind w:left="1800" w:hanging="360"/>
      </w:pPr>
    </w:lvl>
    <w:lvl w:ilvl="3" w:tplc="0409000F">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15:restartNumberingAfterBreak="0">
    <w:nsid w:val="754F197E"/>
    <w:multiLevelType w:val="hybridMultilevel"/>
    <w:tmpl w:val="BBE4A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6681655">
    <w:abstractNumId w:val="1"/>
  </w:num>
  <w:num w:numId="2" w16cid:durableId="1209681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8B"/>
    <w:rsid w:val="000020E5"/>
    <w:rsid w:val="00031595"/>
    <w:rsid w:val="0004302E"/>
    <w:rsid w:val="0004706F"/>
    <w:rsid w:val="000C4A77"/>
    <w:rsid w:val="000E20CD"/>
    <w:rsid w:val="00124825"/>
    <w:rsid w:val="001412B6"/>
    <w:rsid w:val="00142F3A"/>
    <w:rsid w:val="00185411"/>
    <w:rsid w:val="00186465"/>
    <w:rsid w:val="001A6154"/>
    <w:rsid w:val="001A6A86"/>
    <w:rsid w:val="001E43A1"/>
    <w:rsid w:val="00236AC2"/>
    <w:rsid w:val="00241B57"/>
    <w:rsid w:val="002B7C39"/>
    <w:rsid w:val="002C30C9"/>
    <w:rsid w:val="00325629"/>
    <w:rsid w:val="00374477"/>
    <w:rsid w:val="003A4777"/>
    <w:rsid w:val="003D1533"/>
    <w:rsid w:val="004161E4"/>
    <w:rsid w:val="004322C5"/>
    <w:rsid w:val="00435C83"/>
    <w:rsid w:val="00457732"/>
    <w:rsid w:val="00474DF3"/>
    <w:rsid w:val="004A3DA8"/>
    <w:rsid w:val="004C58FD"/>
    <w:rsid w:val="004D7948"/>
    <w:rsid w:val="005877D6"/>
    <w:rsid w:val="005D3373"/>
    <w:rsid w:val="005D47E8"/>
    <w:rsid w:val="005E159E"/>
    <w:rsid w:val="00600E94"/>
    <w:rsid w:val="0064203A"/>
    <w:rsid w:val="0067070D"/>
    <w:rsid w:val="00671ABB"/>
    <w:rsid w:val="00682046"/>
    <w:rsid w:val="006F128D"/>
    <w:rsid w:val="00737EE9"/>
    <w:rsid w:val="007437D9"/>
    <w:rsid w:val="007E3A20"/>
    <w:rsid w:val="007F085D"/>
    <w:rsid w:val="008259FF"/>
    <w:rsid w:val="00893F8F"/>
    <w:rsid w:val="008B6A0C"/>
    <w:rsid w:val="008C09FA"/>
    <w:rsid w:val="008C1DBE"/>
    <w:rsid w:val="008C339B"/>
    <w:rsid w:val="00920C55"/>
    <w:rsid w:val="00945ACD"/>
    <w:rsid w:val="00946A02"/>
    <w:rsid w:val="009C6DB0"/>
    <w:rsid w:val="00A72285"/>
    <w:rsid w:val="00A91CF3"/>
    <w:rsid w:val="00AA5EF8"/>
    <w:rsid w:val="00B11BEC"/>
    <w:rsid w:val="00B14F0C"/>
    <w:rsid w:val="00B27B40"/>
    <w:rsid w:val="00BB2EC6"/>
    <w:rsid w:val="00C96D04"/>
    <w:rsid w:val="00C97336"/>
    <w:rsid w:val="00CA709E"/>
    <w:rsid w:val="00CB060C"/>
    <w:rsid w:val="00CE7860"/>
    <w:rsid w:val="00D03347"/>
    <w:rsid w:val="00ED51CE"/>
    <w:rsid w:val="00EF639C"/>
    <w:rsid w:val="00F059F0"/>
    <w:rsid w:val="00F235D6"/>
    <w:rsid w:val="00F2378B"/>
    <w:rsid w:val="00F74A1D"/>
    <w:rsid w:val="00F8353E"/>
    <w:rsid w:val="00F83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46254"/>
  <w15:chartTrackingRefBased/>
  <w15:docId w15:val="{F1C1CA8C-2BBE-4BF2-A976-6FD6E2C8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EC6"/>
    <w:pPr>
      <w:ind w:left="720"/>
      <w:contextualSpacing/>
    </w:pPr>
  </w:style>
  <w:style w:type="paragraph" w:styleId="Header">
    <w:name w:val="header"/>
    <w:basedOn w:val="Normal"/>
    <w:link w:val="HeaderChar"/>
    <w:uiPriority w:val="99"/>
    <w:unhideWhenUsed/>
    <w:rsid w:val="004322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2C5"/>
  </w:style>
  <w:style w:type="paragraph" w:styleId="Footer">
    <w:name w:val="footer"/>
    <w:basedOn w:val="Normal"/>
    <w:link w:val="FooterChar"/>
    <w:uiPriority w:val="99"/>
    <w:unhideWhenUsed/>
    <w:rsid w:val="004322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12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D309F2-2473-403B-8265-F2DB85E3C5A4}">
  <ds:schemaRefs>
    <ds:schemaRef ds:uri="http://purl.org/dc/elements/1.1/"/>
    <ds:schemaRef ds:uri="8ef27eb8-0e3d-496f-b523-771757bdd770"/>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8416942f-d982-4ba4-a5b0-104826b4be24"/>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61BEBC1-5C85-4183-B9D7-3451A4F9F043}">
  <ds:schemaRefs>
    <ds:schemaRef ds:uri="http://schemas.microsoft.com/sharepoint/v3/contenttype/forms"/>
  </ds:schemaRefs>
</ds:datastoreItem>
</file>

<file path=customXml/itemProps3.xml><?xml version="1.0" encoding="utf-8"?>
<ds:datastoreItem xmlns:ds="http://schemas.openxmlformats.org/officeDocument/2006/customXml" ds:itemID="{F21B059B-41ED-4E8D-BCC1-C2635602E9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Ada County</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Macdonald</dc:creator>
  <cp:keywords/>
  <dc:description/>
  <cp:lastModifiedBy>Rich Riffle</cp:lastModifiedBy>
  <cp:revision>2</cp:revision>
  <cp:lastPrinted>2023-04-07T17:20:00Z</cp:lastPrinted>
  <dcterms:created xsi:type="dcterms:W3CDTF">2025-05-21T11:55:00Z</dcterms:created>
  <dcterms:modified xsi:type="dcterms:W3CDTF">2025-05-21T11:55:00Z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48bfa94eb5ee0645f97df1d801027da04d76cd42ef39296ca756d31a41cf79cb</vt:lpwstr>
  </property>
  <property fmtid="{D5CDD505-2E9C-101B-9397-08002B2CF9AE}" pid="3" name="ContentTypeId">
    <vt:lpwstr>0x0101002FE5814883B49940B4B8AAE202A6E984</vt:lpwstr>
  </property>
</Properties>
</file>